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3686"/>
        <w:gridCol w:w="992"/>
        <w:gridCol w:w="4820"/>
      </w:tblGrid>
      <w:tr w:rsidR="00034609" w:rsidRPr="00633733" w:rsidTr="00DA5C31">
        <w:trPr>
          <w:trHeight w:val="1172"/>
        </w:trPr>
        <w:tc>
          <w:tcPr>
            <w:tcW w:w="3686" w:type="dxa"/>
            <w:shd w:val="clear" w:color="auto" w:fill="auto"/>
            <w:tcMar>
              <w:left w:w="0" w:type="dxa"/>
              <w:right w:w="0" w:type="dxa"/>
            </w:tcMar>
          </w:tcPr>
          <w:p w:rsidR="00034609" w:rsidRPr="00633733" w:rsidRDefault="00034609" w:rsidP="00034609">
            <w:pPr>
              <w:spacing w:line="240" w:lineRule="auto"/>
              <w:rPr>
                <w:rFonts w:ascii="Times New Roman" w:hAnsi="Times New Roman"/>
                <w:sz w:val="24"/>
                <w:szCs w:val="24"/>
                <w:lang w:val="en-US"/>
              </w:rPr>
            </w:pPr>
          </w:p>
        </w:tc>
        <w:tc>
          <w:tcPr>
            <w:tcW w:w="992" w:type="dxa"/>
            <w:shd w:val="clear" w:color="auto" w:fill="auto"/>
            <w:tcMar>
              <w:left w:w="0" w:type="dxa"/>
              <w:right w:w="0" w:type="dxa"/>
            </w:tcMar>
            <w:vAlign w:val="bottom"/>
          </w:tcPr>
          <w:p w:rsidR="00034609" w:rsidRPr="00633733" w:rsidRDefault="00034609" w:rsidP="00034609">
            <w:pPr>
              <w:spacing w:line="240" w:lineRule="auto"/>
              <w:jc w:val="right"/>
              <w:rPr>
                <w:rFonts w:ascii="Times New Roman" w:hAnsi="Times New Roman"/>
                <w:noProof/>
                <w:sz w:val="24"/>
                <w:szCs w:val="24"/>
              </w:rPr>
            </w:pPr>
          </w:p>
        </w:tc>
        <w:tc>
          <w:tcPr>
            <w:tcW w:w="4820" w:type="dxa"/>
            <w:shd w:val="clear" w:color="auto" w:fill="auto"/>
            <w:tcMar>
              <w:left w:w="0" w:type="dxa"/>
              <w:right w:w="0" w:type="dxa"/>
            </w:tcMar>
          </w:tcPr>
          <w:p w:rsidR="00034609" w:rsidRPr="00633733" w:rsidRDefault="00034609" w:rsidP="00034609">
            <w:pPr>
              <w:spacing w:line="240" w:lineRule="auto"/>
              <w:rPr>
                <w:rFonts w:ascii="Times New Roman" w:hAnsi="Times New Roman"/>
                <w:b/>
                <w:sz w:val="24"/>
                <w:szCs w:val="24"/>
              </w:rPr>
            </w:pPr>
            <w:r w:rsidRPr="00633733">
              <w:rPr>
                <w:rFonts w:ascii="Times New Roman" w:hAnsi="Times New Roman"/>
                <w:b/>
                <w:sz w:val="24"/>
                <w:szCs w:val="24"/>
              </w:rPr>
              <w:t>ДО</w:t>
            </w:r>
          </w:p>
          <w:p w:rsidR="00034609" w:rsidRPr="00633733" w:rsidRDefault="00034609" w:rsidP="00034609">
            <w:pPr>
              <w:spacing w:line="240" w:lineRule="auto"/>
              <w:rPr>
                <w:rFonts w:ascii="Times New Roman" w:hAnsi="Times New Roman"/>
                <w:b/>
                <w:sz w:val="24"/>
                <w:szCs w:val="24"/>
              </w:rPr>
            </w:pPr>
            <w:r w:rsidRPr="00633733">
              <w:rPr>
                <w:rFonts w:ascii="Times New Roman" w:hAnsi="Times New Roman"/>
                <w:b/>
                <w:sz w:val="24"/>
                <w:szCs w:val="24"/>
              </w:rPr>
              <w:t>Г- ЖА ДИАНА ЙОРДАНОВА</w:t>
            </w:r>
          </w:p>
          <w:p w:rsidR="00034609" w:rsidRPr="00633733" w:rsidRDefault="00034609" w:rsidP="00034609">
            <w:pPr>
              <w:spacing w:line="240" w:lineRule="auto"/>
              <w:rPr>
                <w:rFonts w:ascii="Times New Roman" w:hAnsi="Times New Roman"/>
                <w:sz w:val="24"/>
                <w:szCs w:val="24"/>
              </w:rPr>
            </w:pPr>
            <w:r w:rsidRPr="00633733">
              <w:rPr>
                <w:rFonts w:ascii="Times New Roman" w:hAnsi="Times New Roman"/>
                <w:b/>
                <w:sz w:val="24"/>
                <w:szCs w:val="24"/>
              </w:rPr>
              <w:t>ПРЕДСЕДАТЕЛ НА ВРЕМЕННАТА КОМИСИЯ ЗА ПРОУЧВАНЕ НА СЛУЧАИТЕ НА НЕИЗПЛАТЕНИ ЗАПЛАТИ КЪМ 44-то НАРОДНО СЪБРАНИЕ</w:t>
            </w:r>
          </w:p>
        </w:tc>
      </w:tr>
      <w:tr w:rsidR="00034609" w:rsidRPr="00633733" w:rsidTr="00DA5C31">
        <w:trPr>
          <w:trHeight w:val="581"/>
        </w:trPr>
        <w:tc>
          <w:tcPr>
            <w:tcW w:w="3686" w:type="dxa"/>
            <w:shd w:val="clear" w:color="auto" w:fill="auto"/>
            <w:tcMar>
              <w:left w:w="0" w:type="dxa"/>
              <w:right w:w="0" w:type="dxa"/>
            </w:tcMar>
          </w:tcPr>
          <w:p w:rsidR="00034609" w:rsidRPr="00633733" w:rsidRDefault="00034609" w:rsidP="00034609">
            <w:pPr>
              <w:spacing w:line="240" w:lineRule="auto"/>
              <w:rPr>
                <w:rFonts w:ascii="Times New Roman" w:hAnsi="Times New Roman"/>
                <w:sz w:val="24"/>
                <w:szCs w:val="24"/>
              </w:rPr>
            </w:pPr>
          </w:p>
        </w:tc>
        <w:tc>
          <w:tcPr>
            <w:tcW w:w="992" w:type="dxa"/>
            <w:shd w:val="clear" w:color="auto" w:fill="auto"/>
            <w:tcMar>
              <w:left w:w="0" w:type="dxa"/>
              <w:right w:w="0" w:type="dxa"/>
            </w:tcMar>
          </w:tcPr>
          <w:p w:rsidR="00FC4A37" w:rsidRPr="00633733" w:rsidRDefault="00FC4A37" w:rsidP="00034609">
            <w:pPr>
              <w:spacing w:line="240" w:lineRule="auto"/>
              <w:jc w:val="right"/>
              <w:rPr>
                <w:rFonts w:ascii="Times New Roman" w:hAnsi="Times New Roman"/>
                <w:sz w:val="24"/>
                <w:szCs w:val="24"/>
              </w:rPr>
            </w:pPr>
          </w:p>
          <w:p w:rsidR="00034609" w:rsidRPr="00633733" w:rsidRDefault="00034609" w:rsidP="00034609">
            <w:pPr>
              <w:spacing w:line="240" w:lineRule="auto"/>
              <w:jc w:val="right"/>
              <w:rPr>
                <w:rFonts w:ascii="Times New Roman" w:hAnsi="Times New Roman"/>
                <w:i/>
                <w:sz w:val="24"/>
                <w:szCs w:val="24"/>
                <w:u w:val="single"/>
              </w:rPr>
            </w:pPr>
          </w:p>
        </w:tc>
        <w:tc>
          <w:tcPr>
            <w:tcW w:w="4820" w:type="dxa"/>
            <w:shd w:val="clear" w:color="auto" w:fill="auto"/>
            <w:tcMar>
              <w:left w:w="0" w:type="dxa"/>
              <w:right w:w="0" w:type="dxa"/>
            </w:tcMar>
          </w:tcPr>
          <w:p w:rsidR="00FC4A37" w:rsidRPr="00633733" w:rsidRDefault="00FE2C95" w:rsidP="00034609">
            <w:pPr>
              <w:spacing w:line="240" w:lineRule="auto"/>
              <w:rPr>
                <w:rFonts w:ascii="Times New Roman" w:hAnsi="Times New Roman"/>
                <w:sz w:val="24"/>
                <w:szCs w:val="24"/>
              </w:rPr>
            </w:pPr>
            <w:r w:rsidRPr="00633733">
              <w:rPr>
                <w:rFonts w:ascii="Times New Roman" w:hAnsi="Times New Roman"/>
                <w:b/>
                <w:sz w:val="24"/>
                <w:szCs w:val="24"/>
              </w:rPr>
              <w:t>КОПИЕ</w:t>
            </w:r>
            <w:r w:rsidRPr="00633733">
              <w:rPr>
                <w:rFonts w:ascii="Times New Roman" w:hAnsi="Times New Roman"/>
                <w:sz w:val="24"/>
                <w:szCs w:val="24"/>
              </w:rPr>
              <w:t>:</w:t>
            </w:r>
          </w:p>
          <w:p w:rsidR="00034609" w:rsidRPr="00633733" w:rsidRDefault="00034609" w:rsidP="00584C5F">
            <w:pPr>
              <w:spacing w:line="240" w:lineRule="auto"/>
              <w:rPr>
                <w:rFonts w:ascii="Times New Roman" w:hAnsi="Times New Roman"/>
                <w:i/>
                <w:sz w:val="24"/>
                <w:szCs w:val="24"/>
                <w:u w:val="single"/>
              </w:rPr>
            </w:pPr>
            <w:r w:rsidRPr="00633733">
              <w:rPr>
                <w:rFonts w:ascii="Times New Roman" w:hAnsi="Times New Roman"/>
                <w:b/>
                <w:sz w:val="24"/>
                <w:szCs w:val="24"/>
              </w:rPr>
              <w:t>Г-</w:t>
            </w:r>
            <w:r w:rsidR="00584C5F" w:rsidRPr="00633733">
              <w:rPr>
                <w:rFonts w:ascii="Times New Roman" w:hAnsi="Times New Roman"/>
                <w:b/>
                <w:sz w:val="24"/>
                <w:szCs w:val="24"/>
              </w:rPr>
              <w:t>ЖА ВЕСЕЛА ШИКОВА</w:t>
            </w:r>
            <w:r w:rsidRPr="00633733">
              <w:rPr>
                <w:rFonts w:ascii="Times New Roman" w:hAnsi="Times New Roman"/>
                <w:b/>
                <w:sz w:val="24"/>
                <w:szCs w:val="24"/>
              </w:rPr>
              <w:t xml:space="preserve"> </w:t>
            </w:r>
            <w:r w:rsidRPr="00633733">
              <w:rPr>
                <w:rFonts w:ascii="Times New Roman" w:hAnsi="Times New Roman"/>
                <w:b/>
                <w:sz w:val="24"/>
                <w:szCs w:val="24"/>
              </w:rPr>
              <w:br/>
            </w:r>
            <w:r w:rsidRPr="00633733">
              <w:rPr>
                <w:rFonts w:ascii="Times New Roman" w:hAnsi="Times New Roman"/>
                <w:sz w:val="24"/>
                <w:szCs w:val="24"/>
              </w:rPr>
              <w:t>v.</w:t>
            </w:r>
            <w:proofErr w:type="spellStart"/>
            <w:r w:rsidRPr="00633733">
              <w:rPr>
                <w:rFonts w:ascii="Times New Roman" w:hAnsi="Times New Roman"/>
                <w:sz w:val="24"/>
                <w:szCs w:val="24"/>
              </w:rPr>
              <w:t>shikova@parliament</w:t>
            </w:r>
            <w:proofErr w:type="spellEnd"/>
            <w:r w:rsidRPr="00633733">
              <w:rPr>
                <w:rFonts w:ascii="Times New Roman" w:hAnsi="Times New Roman"/>
                <w:sz w:val="24"/>
                <w:szCs w:val="24"/>
              </w:rPr>
              <w:t>.</w:t>
            </w:r>
            <w:proofErr w:type="spellStart"/>
            <w:r w:rsidRPr="00633733">
              <w:rPr>
                <w:rFonts w:ascii="Times New Roman" w:hAnsi="Times New Roman"/>
                <w:sz w:val="24"/>
                <w:szCs w:val="24"/>
              </w:rPr>
              <w:t>bg</w:t>
            </w:r>
            <w:proofErr w:type="spellEnd"/>
            <w:r w:rsidRPr="00633733">
              <w:rPr>
                <w:rFonts w:ascii="Times New Roman" w:hAnsi="Times New Roman"/>
                <w:sz w:val="24"/>
                <w:szCs w:val="24"/>
              </w:rPr>
              <w:t xml:space="preserve"> veselashikova@yahoo.com</w:t>
            </w:r>
          </w:p>
        </w:tc>
      </w:tr>
    </w:tbl>
    <w:p w:rsidR="00633733" w:rsidRPr="00633733" w:rsidRDefault="00633733" w:rsidP="00034609">
      <w:pPr>
        <w:spacing w:line="240" w:lineRule="auto"/>
        <w:jc w:val="both"/>
        <w:rPr>
          <w:rFonts w:ascii="Times New Roman" w:hAnsi="Times New Roman"/>
          <w:sz w:val="24"/>
          <w:szCs w:val="24"/>
          <w:u w:val="single"/>
        </w:rPr>
      </w:pPr>
    </w:p>
    <w:p w:rsidR="00034609" w:rsidRPr="00633733" w:rsidRDefault="00FC4A37" w:rsidP="00034609">
      <w:pPr>
        <w:spacing w:line="240" w:lineRule="auto"/>
        <w:jc w:val="both"/>
        <w:rPr>
          <w:rFonts w:ascii="Times New Roman" w:hAnsi="Times New Roman"/>
          <w:sz w:val="24"/>
          <w:szCs w:val="24"/>
          <w:u w:val="single"/>
        </w:rPr>
      </w:pPr>
      <w:r w:rsidRPr="00633733">
        <w:rPr>
          <w:rFonts w:ascii="Times New Roman" w:hAnsi="Times New Roman"/>
          <w:sz w:val="24"/>
          <w:szCs w:val="24"/>
          <w:u w:val="single"/>
        </w:rPr>
        <w:t>На Ваш № ВКНЗ-753-74-3/11.05</w:t>
      </w:r>
      <w:r w:rsidR="00070B08" w:rsidRPr="00633733">
        <w:rPr>
          <w:rFonts w:ascii="Times New Roman" w:hAnsi="Times New Roman"/>
          <w:sz w:val="24"/>
          <w:szCs w:val="24"/>
          <w:u w:val="single"/>
        </w:rPr>
        <w:t>.</w:t>
      </w:r>
      <w:r w:rsidRPr="00633733">
        <w:rPr>
          <w:rFonts w:ascii="Times New Roman" w:hAnsi="Times New Roman"/>
          <w:sz w:val="24"/>
          <w:szCs w:val="24"/>
          <w:u w:val="single"/>
        </w:rPr>
        <w:t>2017 г.</w:t>
      </w:r>
      <w:bookmarkStart w:id="0" w:name="_GoBack"/>
      <w:bookmarkEnd w:id="0"/>
    </w:p>
    <w:p w:rsidR="00FC4A37" w:rsidRPr="00633733" w:rsidRDefault="00FC4A37" w:rsidP="00034609">
      <w:pPr>
        <w:spacing w:line="240" w:lineRule="auto"/>
        <w:jc w:val="both"/>
        <w:rPr>
          <w:rFonts w:ascii="Times New Roman" w:hAnsi="Times New Roman"/>
          <w:sz w:val="24"/>
          <w:szCs w:val="24"/>
          <w:u w:val="single"/>
        </w:rPr>
      </w:pPr>
    </w:p>
    <w:tbl>
      <w:tblPr>
        <w:tblW w:w="9498" w:type="dxa"/>
        <w:tblCellMar>
          <w:left w:w="0" w:type="dxa"/>
          <w:right w:w="0" w:type="dxa"/>
        </w:tblCellMar>
        <w:tblLook w:val="04A0" w:firstRow="1" w:lastRow="0" w:firstColumn="1" w:lastColumn="0" w:noHBand="0" w:noVBand="1"/>
      </w:tblPr>
      <w:tblGrid>
        <w:gridCol w:w="1334"/>
        <w:gridCol w:w="8164"/>
      </w:tblGrid>
      <w:tr w:rsidR="00034609" w:rsidRPr="00633733" w:rsidTr="00DA5C31">
        <w:tc>
          <w:tcPr>
            <w:tcW w:w="1242" w:type="dxa"/>
          </w:tcPr>
          <w:p w:rsidR="00034609" w:rsidRPr="00633733" w:rsidRDefault="00034609" w:rsidP="00034609">
            <w:pPr>
              <w:spacing w:line="240" w:lineRule="auto"/>
              <w:jc w:val="both"/>
              <w:rPr>
                <w:rFonts w:ascii="Times New Roman" w:hAnsi="Times New Roman"/>
                <w:sz w:val="24"/>
                <w:szCs w:val="24"/>
              </w:rPr>
            </w:pPr>
            <w:r w:rsidRPr="00633733">
              <w:rPr>
                <w:rFonts w:ascii="Times New Roman" w:hAnsi="Times New Roman"/>
                <w:b/>
                <w:sz w:val="24"/>
                <w:szCs w:val="24"/>
              </w:rPr>
              <w:t>ОТНОСНО</w:t>
            </w:r>
            <w:r w:rsidRPr="00633733">
              <w:rPr>
                <w:rFonts w:ascii="Times New Roman" w:hAnsi="Times New Roman"/>
                <w:sz w:val="24"/>
                <w:szCs w:val="24"/>
              </w:rPr>
              <w:t>:</w:t>
            </w:r>
          </w:p>
        </w:tc>
        <w:tc>
          <w:tcPr>
            <w:tcW w:w="8256" w:type="dxa"/>
          </w:tcPr>
          <w:p w:rsidR="00034609" w:rsidRPr="00633733" w:rsidRDefault="00034609" w:rsidP="00FC4A37">
            <w:pPr>
              <w:spacing w:line="240" w:lineRule="auto"/>
              <w:jc w:val="both"/>
              <w:rPr>
                <w:rFonts w:ascii="Times New Roman" w:hAnsi="Times New Roman"/>
                <w:sz w:val="24"/>
                <w:szCs w:val="24"/>
              </w:rPr>
            </w:pPr>
            <w:r w:rsidRPr="00633733">
              <w:rPr>
                <w:rFonts w:ascii="Times New Roman" w:hAnsi="Times New Roman"/>
                <w:sz w:val="24"/>
                <w:szCs w:val="24"/>
              </w:rPr>
              <w:t xml:space="preserve">предложения на г-жа Мая Манолова, </w:t>
            </w:r>
            <w:proofErr w:type="spellStart"/>
            <w:r w:rsidRPr="00633733">
              <w:rPr>
                <w:rFonts w:ascii="Times New Roman" w:hAnsi="Times New Roman"/>
                <w:sz w:val="24"/>
                <w:szCs w:val="24"/>
              </w:rPr>
              <w:t>Омбудсман</w:t>
            </w:r>
            <w:proofErr w:type="spellEnd"/>
            <w:r w:rsidRPr="00633733">
              <w:rPr>
                <w:rFonts w:ascii="Times New Roman" w:hAnsi="Times New Roman"/>
                <w:sz w:val="24"/>
                <w:szCs w:val="24"/>
              </w:rPr>
              <w:t xml:space="preserve"> на Република България и КНСБ за законодателни промени за разрешаване на случаите на неизплатени заплати на работници от техните работодатели </w:t>
            </w:r>
          </w:p>
        </w:tc>
      </w:tr>
    </w:tbl>
    <w:p w:rsidR="00034609" w:rsidRPr="00633733" w:rsidRDefault="00034609" w:rsidP="00034609">
      <w:pPr>
        <w:spacing w:line="240" w:lineRule="auto"/>
        <w:jc w:val="both"/>
        <w:rPr>
          <w:rFonts w:ascii="Times New Roman" w:hAnsi="Times New Roman"/>
          <w:sz w:val="24"/>
          <w:szCs w:val="24"/>
        </w:rPr>
      </w:pPr>
    </w:p>
    <w:p w:rsidR="00070B08" w:rsidRPr="00633733" w:rsidRDefault="00070B08" w:rsidP="00034609">
      <w:pPr>
        <w:spacing w:line="240" w:lineRule="auto"/>
        <w:jc w:val="both"/>
        <w:rPr>
          <w:rFonts w:ascii="Times New Roman" w:hAnsi="Times New Roman"/>
          <w:sz w:val="24"/>
          <w:szCs w:val="24"/>
        </w:rPr>
      </w:pPr>
    </w:p>
    <w:p w:rsidR="00070B08" w:rsidRPr="00633733" w:rsidRDefault="00070B08" w:rsidP="00070B08">
      <w:pPr>
        <w:spacing w:before="120" w:after="0" w:line="360" w:lineRule="auto"/>
        <w:ind w:firstLine="425"/>
        <w:jc w:val="center"/>
        <w:rPr>
          <w:rFonts w:ascii="Times New Roman" w:hAnsi="Times New Roman"/>
          <w:sz w:val="24"/>
          <w:szCs w:val="24"/>
        </w:rPr>
      </w:pPr>
    </w:p>
    <w:p w:rsidR="00034609" w:rsidRPr="00633733" w:rsidRDefault="00034609" w:rsidP="00070B08">
      <w:pPr>
        <w:spacing w:before="120" w:after="0" w:line="360" w:lineRule="auto"/>
        <w:ind w:firstLine="425"/>
        <w:jc w:val="center"/>
        <w:rPr>
          <w:rFonts w:ascii="Times New Roman" w:hAnsi="Times New Roman"/>
          <w:b/>
          <w:sz w:val="24"/>
          <w:szCs w:val="24"/>
        </w:rPr>
      </w:pPr>
      <w:r w:rsidRPr="00633733">
        <w:rPr>
          <w:rFonts w:ascii="Times New Roman" w:hAnsi="Times New Roman"/>
          <w:b/>
          <w:sz w:val="24"/>
          <w:szCs w:val="24"/>
        </w:rPr>
        <w:t>УВАЖАЕМА ГОСПОЖО ЙОРДАНОВА,</w:t>
      </w:r>
    </w:p>
    <w:p w:rsidR="00070B08" w:rsidRPr="00633733" w:rsidRDefault="00070B08" w:rsidP="00070B08">
      <w:pPr>
        <w:spacing w:before="120" w:after="0" w:line="360" w:lineRule="auto"/>
        <w:ind w:firstLine="425"/>
        <w:jc w:val="center"/>
        <w:rPr>
          <w:rFonts w:ascii="Times New Roman" w:hAnsi="Times New Roman"/>
          <w:sz w:val="24"/>
          <w:szCs w:val="24"/>
        </w:rPr>
      </w:pPr>
    </w:p>
    <w:p w:rsidR="00034609" w:rsidRPr="00633733" w:rsidRDefault="005423C0" w:rsidP="00070B08">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Асоциацията на организациите на българските работодатели</w:t>
      </w:r>
      <w:r w:rsidR="00034609" w:rsidRPr="00633733">
        <w:rPr>
          <w:rFonts w:ascii="Times New Roman" w:hAnsi="Times New Roman"/>
          <w:sz w:val="24"/>
          <w:szCs w:val="24"/>
        </w:rPr>
        <w:t xml:space="preserve"> </w:t>
      </w:r>
      <w:r w:rsidR="00AA5FAF" w:rsidRPr="00633733">
        <w:rPr>
          <w:rFonts w:ascii="Times New Roman" w:hAnsi="Times New Roman"/>
          <w:sz w:val="24"/>
          <w:szCs w:val="24"/>
        </w:rPr>
        <w:t xml:space="preserve">(АОБР) </w:t>
      </w:r>
      <w:r w:rsidR="00034609" w:rsidRPr="00633733">
        <w:rPr>
          <w:rFonts w:ascii="Times New Roman" w:hAnsi="Times New Roman"/>
          <w:sz w:val="24"/>
          <w:szCs w:val="24"/>
        </w:rPr>
        <w:t>изразява следното становище по представените предложения:</w:t>
      </w:r>
    </w:p>
    <w:p w:rsidR="00034609" w:rsidRPr="00633733" w:rsidRDefault="00034609" w:rsidP="00633733">
      <w:pPr>
        <w:spacing w:before="120" w:after="0" w:line="360" w:lineRule="auto"/>
        <w:ind w:firstLine="567"/>
        <w:jc w:val="both"/>
        <w:rPr>
          <w:rFonts w:ascii="Times New Roman" w:hAnsi="Times New Roman"/>
          <w:color w:val="FF0000"/>
          <w:sz w:val="24"/>
          <w:szCs w:val="24"/>
        </w:rPr>
      </w:pPr>
      <w:r w:rsidRPr="00633733">
        <w:rPr>
          <w:rFonts w:ascii="Times New Roman" w:hAnsi="Times New Roman"/>
          <w:b/>
          <w:sz w:val="24"/>
          <w:szCs w:val="24"/>
        </w:rPr>
        <w:t>1.</w:t>
      </w:r>
      <w:r w:rsidRPr="00633733">
        <w:rPr>
          <w:rFonts w:ascii="Times New Roman" w:hAnsi="Times New Roman"/>
          <w:sz w:val="24"/>
          <w:szCs w:val="24"/>
        </w:rPr>
        <w:tab/>
      </w:r>
      <w:r w:rsidRPr="00633733">
        <w:rPr>
          <w:rFonts w:ascii="Times New Roman" w:hAnsi="Times New Roman"/>
          <w:b/>
          <w:sz w:val="24"/>
          <w:szCs w:val="24"/>
        </w:rPr>
        <w:t>Подкрепяме изцяло измененията и допълненията на Кодекса на труда</w:t>
      </w:r>
      <w:r w:rsidRPr="00633733">
        <w:rPr>
          <w:rFonts w:ascii="Times New Roman" w:hAnsi="Times New Roman"/>
          <w:sz w:val="24"/>
          <w:szCs w:val="24"/>
        </w:rPr>
        <w:t xml:space="preserve"> по §1 от предложенията, с които се регламентира срок от три месеца за изплащане на дължими обезщетения, свър</w:t>
      </w:r>
      <w:r w:rsidR="00332537" w:rsidRPr="00633733">
        <w:rPr>
          <w:rFonts w:ascii="Times New Roman" w:hAnsi="Times New Roman"/>
          <w:sz w:val="24"/>
          <w:szCs w:val="24"/>
        </w:rPr>
        <w:t>зани с трудовото правоотношение, с уговорката, че този срок е приложим, освен ако в индивидуалния, или в колективния трудов договор не е съгласуван друг срок.</w:t>
      </w:r>
    </w:p>
    <w:p w:rsidR="00034609" w:rsidRPr="00633733" w:rsidRDefault="00332537"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При сега действащата правна уредба – при липса на нормативно определен, или договорен срок  </w:t>
      </w:r>
      <w:r w:rsidR="00034609" w:rsidRPr="00633733">
        <w:rPr>
          <w:rFonts w:ascii="Times New Roman" w:hAnsi="Times New Roman"/>
          <w:sz w:val="24"/>
          <w:szCs w:val="24"/>
        </w:rPr>
        <w:t xml:space="preserve">се прилагат общите правила на ЗЗД - задължението е дължимо веднага след настъпване на основанието за плащане, а освен това, работодателят изпада в забава след покана на работника </w:t>
      </w:r>
      <w:r w:rsidR="00034609" w:rsidRPr="00633733">
        <w:rPr>
          <w:rFonts w:ascii="Times New Roman" w:hAnsi="Times New Roman"/>
          <w:sz w:val="24"/>
          <w:szCs w:val="24"/>
        </w:rPr>
        <w:lastRenderedPageBreak/>
        <w:t xml:space="preserve">и му дължи и съответните лихви. Със сегашното предложение се предвижда на практика облекчаване на работодателя и намаляване на отговорността му и действително можем да го подкрепим. </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2.</w:t>
      </w:r>
      <w:r w:rsidRPr="00633733">
        <w:rPr>
          <w:rFonts w:ascii="Times New Roman" w:hAnsi="Times New Roman"/>
          <w:b/>
          <w:color w:val="1F497D"/>
          <w:sz w:val="24"/>
          <w:szCs w:val="24"/>
        </w:rPr>
        <w:t xml:space="preserve"> </w:t>
      </w:r>
      <w:r w:rsidRPr="00633733">
        <w:rPr>
          <w:rFonts w:ascii="Times New Roman" w:hAnsi="Times New Roman"/>
          <w:b/>
          <w:sz w:val="24"/>
          <w:szCs w:val="24"/>
        </w:rPr>
        <w:t>Не</w:t>
      </w:r>
      <w:r w:rsidR="00FC4A37" w:rsidRPr="00633733">
        <w:rPr>
          <w:rFonts w:ascii="Times New Roman" w:hAnsi="Times New Roman"/>
          <w:b/>
          <w:sz w:val="24"/>
          <w:szCs w:val="24"/>
        </w:rPr>
        <w:t xml:space="preserve"> подкрепяме §</w:t>
      </w:r>
      <w:r w:rsidRPr="00633733">
        <w:rPr>
          <w:rFonts w:ascii="Times New Roman" w:hAnsi="Times New Roman"/>
          <w:b/>
          <w:sz w:val="24"/>
          <w:szCs w:val="24"/>
        </w:rPr>
        <w:t>2 и §3</w:t>
      </w:r>
      <w:r w:rsidR="00F942E4" w:rsidRPr="00633733">
        <w:rPr>
          <w:rFonts w:ascii="Times New Roman" w:hAnsi="Times New Roman"/>
          <w:b/>
          <w:sz w:val="24"/>
          <w:szCs w:val="24"/>
          <w:lang w:val="en-US"/>
        </w:rPr>
        <w:t xml:space="preserve"> </w:t>
      </w:r>
      <w:r w:rsidR="00FC4A37" w:rsidRPr="00633733">
        <w:rPr>
          <w:rFonts w:ascii="Times New Roman" w:hAnsi="Times New Roman"/>
          <w:sz w:val="24"/>
          <w:szCs w:val="24"/>
        </w:rPr>
        <w:t>относно</w:t>
      </w:r>
      <w:r w:rsidR="00F942E4" w:rsidRPr="00633733">
        <w:rPr>
          <w:rFonts w:ascii="Times New Roman" w:hAnsi="Times New Roman"/>
          <w:sz w:val="24"/>
          <w:szCs w:val="24"/>
          <w:lang w:val="en-US"/>
        </w:rPr>
        <w:t xml:space="preserve"> </w:t>
      </w:r>
      <w:r w:rsidRPr="00633733">
        <w:rPr>
          <w:rFonts w:ascii="Times New Roman" w:hAnsi="Times New Roman"/>
          <w:sz w:val="24"/>
          <w:szCs w:val="24"/>
        </w:rPr>
        <w:t>увеличава</w:t>
      </w:r>
      <w:r w:rsidR="00332537" w:rsidRPr="00633733">
        <w:rPr>
          <w:rFonts w:ascii="Times New Roman" w:hAnsi="Times New Roman"/>
          <w:sz w:val="24"/>
          <w:szCs w:val="24"/>
        </w:rPr>
        <w:t xml:space="preserve">не на </w:t>
      </w:r>
      <w:r w:rsidRPr="00633733">
        <w:rPr>
          <w:rFonts w:ascii="Times New Roman" w:hAnsi="Times New Roman"/>
          <w:sz w:val="24"/>
          <w:szCs w:val="24"/>
        </w:rPr>
        <w:t xml:space="preserve"> контролните правомощия на ГИТ за случаи на забавени и неизплатени трудови възнаграждения и обезщетения при прекратено трудово правоотношение. </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При осъществяване на контролната дейност по спазване на трудовото законодателство контролните органи на инспекцията по труда </w:t>
      </w:r>
      <w:r w:rsidR="003E58B0" w:rsidRPr="00633733">
        <w:rPr>
          <w:rFonts w:ascii="Times New Roman" w:hAnsi="Times New Roman"/>
          <w:sz w:val="24"/>
          <w:szCs w:val="24"/>
        </w:rPr>
        <w:t xml:space="preserve">осъществяват </w:t>
      </w:r>
      <w:proofErr w:type="spellStart"/>
      <w:r w:rsidR="003E58B0" w:rsidRPr="00633733">
        <w:rPr>
          <w:rFonts w:ascii="Times New Roman" w:hAnsi="Times New Roman"/>
          <w:sz w:val="24"/>
          <w:szCs w:val="24"/>
        </w:rPr>
        <w:t>административнонаказателна</w:t>
      </w:r>
      <w:proofErr w:type="spellEnd"/>
      <w:r w:rsidR="003E58B0" w:rsidRPr="00633733">
        <w:rPr>
          <w:rFonts w:ascii="Times New Roman" w:hAnsi="Times New Roman"/>
          <w:sz w:val="24"/>
          <w:szCs w:val="24"/>
        </w:rPr>
        <w:t xml:space="preserve"> отговорност, поради което </w:t>
      </w:r>
      <w:r w:rsidRPr="00633733">
        <w:rPr>
          <w:rFonts w:ascii="Times New Roman" w:hAnsi="Times New Roman"/>
          <w:sz w:val="24"/>
          <w:szCs w:val="24"/>
        </w:rPr>
        <w:t xml:space="preserve">могат да дават задължителни предписания за </w:t>
      </w:r>
      <w:r w:rsidR="00332537" w:rsidRPr="00633733">
        <w:rPr>
          <w:rFonts w:ascii="Times New Roman" w:hAnsi="Times New Roman"/>
          <w:sz w:val="24"/>
          <w:szCs w:val="24"/>
        </w:rPr>
        <w:t xml:space="preserve">спазване на императивните разпоредби </w:t>
      </w:r>
      <w:r w:rsidR="003E58B0" w:rsidRPr="00633733">
        <w:rPr>
          <w:rFonts w:ascii="Times New Roman" w:hAnsi="Times New Roman"/>
          <w:sz w:val="24"/>
          <w:szCs w:val="24"/>
        </w:rPr>
        <w:t xml:space="preserve">на трудовото законодателство </w:t>
      </w:r>
      <w:r w:rsidR="003E58B0" w:rsidRPr="00633733">
        <w:rPr>
          <w:rFonts w:ascii="Times New Roman" w:hAnsi="Times New Roman"/>
          <w:sz w:val="24"/>
          <w:szCs w:val="24"/>
          <w:lang w:val="en-US"/>
        </w:rPr>
        <w:t>(</w:t>
      </w:r>
      <w:r w:rsidR="003E58B0" w:rsidRPr="00633733">
        <w:rPr>
          <w:rFonts w:ascii="Times New Roman" w:hAnsi="Times New Roman"/>
          <w:sz w:val="24"/>
          <w:szCs w:val="24"/>
        </w:rPr>
        <w:t xml:space="preserve">относно здравословните и безопасни условия на труд, </w:t>
      </w:r>
      <w:r w:rsidR="00021490" w:rsidRPr="00633733">
        <w:rPr>
          <w:rFonts w:ascii="Times New Roman" w:hAnsi="Times New Roman"/>
          <w:sz w:val="24"/>
          <w:szCs w:val="24"/>
        </w:rPr>
        <w:t xml:space="preserve">минималната работна заплата, </w:t>
      </w:r>
      <w:r w:rsidR="003E58B0" w:rsidRPr="00633733">
        <w:rPr>
          <w:rFonts w:ascii="Times New Roman" w:hAnsi="Times New Roman"/>
          <w:sz w:val="24"/>
          <w:szCs w:val="24"/>
        </w:rPr>
        <w:t>работното време, извънредния труд, почивките, отпуските, професионалната квалификация и др. под</w:t>
      </w:r>
      <w:r w:rsidR="003E58B0" w:rsidRPr="00633733">
        <w:rPr>
          <w:rFonts w:ascii="Times New Roman" w:hAnsi="Times New Roman"/>
          <w:sz w:val="24"/>
          <w:szCs w:val="24"/>
          <w:lang w:val="en-US"/>
        </w:rPr>
        <w:t>)</w:t>
      </w:r>
      <w:r w:rsidR="003E58B0" w:rsidRPr="00633733">
        <w:rPr>
          <w:rFonts w:ascii="Times New Roman" w:hAnsi="Times New Roman"/>
          <w:sz w:val="24"/>
          <w:szCs w:val="24"/>
        </w:rPr>
        <w:t xml:space="preserve">, но не и относно правата и задълженията, договорени в трудовото правоотношение </w:t>
      </w:r>
      <w:r w:rsidR="003E58B0" w:rsidRPr="00633733">
        <w:rPr>
          <w:rFonts w:ascii="Times New Roman" w:hAnsi="Times New Roman"/>
          <w:sz w:val="24"/>
          <w:szCs w:val="24"/>
          <w:lang w:val="en-US"/>
        </w:rPr>
        <w:t>(</w:t>
      </w:r>
      <w:r w:rsidR="003E58B0" w:rsidRPr="00633733">
        <w:rPr>
          <w:rFonts w:ascii="Times New Roman" w:hAnsi="Times New Roman"/>
          <w:sz w:val="24"/>
          <w:szCs w:val="24"/>
        </w:rPr>
        <w:t>чл. 66 от КТ</w:t>
      </w:r>
      <w:r w:rsidR="003E58B0" w:rsidRPr="00633733">
        <w:rPr>
          <w:rFonts w:ascii="Times New Roman" w:hAnsi="Times New Roman"/>
          <w:sz w:val="24"/>
          <w:szCs w:val="24"/>
          <w:lang w:val="en-US"/>
        </w:rPr>
        <w:t>)</w:t>
      </w:r>
      <w:r w:rsidR="003E58B0" w:rsidRPr="00633733">
        <w:rPr>
          <w:rFonts w:ascii="Times New Roman" w:hAnsi="Times New Roman"/>
          <w:sz w:val="24"/>
          <w:szCs w:val="24"/>
        </w:rPr>
        <w:t xml:space="preserve">. </w:t>
      </w:r>
      <w:r w:rsidR="00122997" w:rsidRPr="00633733">
        <w:rPr>
          <w:rFonts w:ascii="Times New Roman" w:hAnsi="Times New Roman"/>
          <w:sz w:val="24"/>
          <w:szCs w:val="24"/>
        </w:rPr>
        <w:t xml:space="preserve">В случай, че се създаде прецедент за контрол на </w:t>
      </w:r>
      <w:proofErr w:type="spellStart"/>
      <w:r w:rsidR="00122997" w:rsidRPr="00633733">
        <w:rPr>
          <w:rFonts w:ascii="Times New Roman" w:hAnsi="Times New Roman"/>
          <w:sz w:val="24"/>
          <w:szCs w:val="24"/>
        </w:rPr>
        <w:t>административнонаказващия</w:t>
      </w:r>
      <w:proofErr w:type="spellEnd"/>
      <w:r w:rsidR="00122997" w:rsidRPr="00633733">
        <w:rPr>
          <w:rFonts w:ascii="Times New Roman" w:hAnsi="Times New Roman"/>
          <w:sz w:val="24"/>
          <w:szCs w:val="24"/>
        </w:rPr>
        <w:t xml:space="preserve"> орган за заплащане на трудовото възнаграждение, то това е основание да се започне дебат за такъв контрол и относно спазването на другите основни елементи от трудовото правоотношение, които са от значение за работодателя. </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3.</w:t>
      </w:r>
      <w:r w:rsidRPr="00633733">
        <w:rPr>
          <w:rFonts w:ascii="Times New Roman" w:hAnsi="Times New Roman"/>
          <w:sz w:val="24"/>
          <w:szCs w:val="24"/>
        </w:rPr>
        <w:tab/>
      </w:r>
      <w:r w:rsidRPr="00633733">
        <w:rPr>
          <w:rFonts w:ascii="Times New Roman" w:hAnsi="Times New Roman"/>
          <w:b/>
          <w:sz w:val="24"/>
          <w:szCs w:val="24"/>
        </w:rPr>
        <w:t>Измененията на Гражданския процесуален кодекс</w:t>
      </w:r>
      <w:r w:rsidRPr="00633733">
        <w:rPr>
          <w:rFonts w:ascii="Times New Roman" w:hAnsi="Times New Roman"/>
          <w:sz w:val="24"/>
          <w:szCs w:val="24"/>
        </w:rPr>
        <w:t xml:space="preserve"> по §4 предвиждат да бъдат допълнени нормите в частта относно „Заповед за изпълнение въз основа на документ”, като се създава нова точка 10 към чл. 417 ГПК. Предвижда се възможност да се иска издаване на заповед за изпълнение, когато вземането, независимо от неговата цена, се основава на извлечения от ведомости за изплатени или неизплатени трудови възнаграждения или обезщетения. </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Правото на работниците да поискат издаване на заповед за изпълнение и изпълнителен лист е уредено в чл. 410 от ГПК. Според ал.1 т. 1 на чл. 410, заявителят може да поиска издаване на заповед за изпълнение, за вземания за парични суми, когато искът е подсъден на районния съд. Съгласно чл. 103 във връзка с чл. 104 т. 4 от ГПК, на районния съд са подсъдни всички трудови спорове, включително тези за изплащане на трудови възнаграждения, независимо от техния размер. Чл. 410 ал. 1 т. 1 от ГПК не поставя специални изисквания, свързани с доказване на претенцията в хода на заповедното производство. Това дава широки възможности за работници и служители, претендиращи трудови възнаграждения,  да докажат, че същите не са им били изплатени.</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lastRenderedPageBreak/>
        <w:t>По този начин чл. 410 напълно осигурява правото на работниците и служителите да използват като средство за съдебна защита на интересите си издаването на заповед за изпълнение.</w:t>
      </w:r>
    </w:p>
    <w:p w:rsidR="00B32005" w:rsidRPr="00633733" w:rsidRDefault="00B32005"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Към изложеното следва да се изтъкне, че предоставянето само на работника на право по чл. 417 от ГПК поставя в неравноправно положение работодателят, за когото законопроектът не предвижда такава възможност.</w:t>
      </w:r>
    </w:p>
    <w:p w:rsidR="00034609" w:rsidRPr="00633733" w:rsidRDefault="00B32005"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Независимо от всичко предвидената в законопроекта документация за упражняване от работника на правото по чл. 417 от ГПК </w:t>
      </w:r>
      <w:r w:rsidR="00034609" w:rsidRPr="00633733">
        <w:rPr>
          <w:rFonts w:ascii="Times New Roman" w:hAnsi="Times New Roman"/>
          <w:sz w:val="24"/>
          <w:szCs w:val="24"/>
        </w:rPr>
        <w:t>- извлечения от ведомостите  на предприятието, по–скоро може да осуети, отколкото да допринесе за постигане на целените правни последици – получаване на заповед за изпълнение. Искането за  издаване на извлечение от ведомостите от работник или служител, предупреждава предприятието за евентуалните действия от страна на работника/служителя и му дава възможност да предприеме мерки за своя защита в хода на заповедното производство. По този начин се елиминира елементът „изненада” за длъжника, който е един от съществените при този вид процедура. Като страничен ефект е и рискът да бъде загубена  платената такса от заявителя (работника/служителя) от 2% върху стойността на претенцията.</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Отделно подчертаваме, че във връзка с нарастващите случаи на измами и злоупотреби, в момента в правораздавателната система и експертната общност протича интензивен дебат за необходимостта от цялостно преразглеждане на основните текстове на ГПК, регламентиращи заповедното производство.</w:t>
      </w:r>
    </w:p>
    <w:p w:rsidR="00034609" w:rsidRPr="00633733" w:rsidRDefault="00034609" w:rsidP="00633733">
      <w:pPr>
        <w:spacing w:before="120" w:after="0" w:line="360" w:lineRule="auto"/>
        <w:ind w:firstLine="567"/>
        <w:jc w:val="both"/>
        <w:rPr>
          <w:rFonts w:ascii="Times New Roman" w:hAnsi="Times New Roman"/>
          <w:b/>
          <w:sz w:val="24"/>
          <w:szCs w:val="24"/>
        </w:rPr>
      </w:pPr>
      <w:r w:rsidRPr="00633733">
        <w:rPr>
          <w:rFonts w:ascii="Times New Roman" w:hAnsi="Times New Roman"/>
          <w:b/>
          <w:sz w:val="24"/>
          <w:szCs w:val="24"/>
        </w:rPr>
        <w:t>3. По измененията и допълненията на Търговския закон (§ 5):</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 xml:space="preserve">3.1 </w:t>
      </w:r>
      <w:r w:rsidRPr="00633733">
        <w:rPr>
          <w:rFonts w:ascii="Times New Roman" w:hAnsi="Times New Roman"/>
          <w:sz w:val="24"/>
          <w:szCs w:val="24"/>
        </w:rPr>
        <w:t>Не подкрепяме промените в чл. 15 и чл. 129 въвеждащи ограничения за  сделки с предприятия и прехвърляне на дружествени дялове в случай на неиздължени трудови възнаграждения, обезщетения и осигурителни вноски по следните съображения:</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Собствениците на ООД отговарят за задълженията на </w:t>
      </w:r>
      <w:r w:rsidR="00584C5F" w:rsidRPr="00633733">
        <w:rPr>
          <w:rFonts w:ascii="Times New Roman" w:hAnsi="Times New Roman"/>
          <w:sz w:val="24"/>
          <w:szCs w:val="24"/>
        </w:rPr>
        <w:t>дружеството</w:t>
      </w:r>
      <w:r w:rsidRPr="00633733">
        <w:rPr>
          <w:rFonts w:ascii="Times New Roman" w:hAnsi="Times New Roman"/>
          <w:sz w:val="24"/>
          <w:szCs w:val="24"/>
        </w:rPr>
        <w:t xml:space="preserve"> до размера на дяловете си. Работниците имат правоотношения със съответното дружество, а не със </w:t>
      </w:r>
      <w:proofErr w:type="spellStart"/>
      <w:r w:rsidRPr="00633733">
        <w:rPr>
          <w:rFonts w:ascii="Times New Roman" w:hAnsi="Times New Roman"/>
          <w:sz w:val="24"/>
          <w:szCs w:val="24"/>
        </w:rPr>
        <w:t>съдружниците</w:t>
      </w:r>
      <w:proofErr w:type="spellEnd"/>
      <w:r w:rsidRPr="00633733">
        <w:rPr>
          <w:rFonts w:ascii="Times New Roman" w:hAnsi="Times New Roman"/>
          <w:sz w:val="24"/>
          <w:szCs w:val="24"/>
        </w:rPr>
        <w:t xml:space="preserve">. Освен това се ограничава правото на собственост. </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Чл. 15 на ТЗ предвижда солидарна отговорност за </w:t>
      </w:r>
      <w:proofErr w:type="spellStart"/>
      <w:r w:rsidRPr="00633733">
        <w:rPr>
          <w:rFonts w:ascii="Times New Roman" w:hAnsi="Times New Roman"/>
          <w:sz w:val="24"/>
          <w:szCs w:val="24"/>
        </w:rPr>
        <w:t>отчуждителя</w:t>
      </w:r>
      <w:proofErr w:type="spellEnd"/>
      <w:r w:rsidRPr="00633733">
        <w:rPr>
          <w:rFonts w:ascii="Times New Roman" w:hAnsi="Times New Roman"/>
          <w:sz w:val="24"/>
          <w:szCs w:val="24"/>
        </w:rPr>
        <w:t xml:space="preserve"> на предприятието с правоприемника до размера на получените права., ако няма друго споразумение с кредиторите. Кредиторите на </w:t>
      </w:r>
      <w:proofErr w:type="spellStart"/>
      <w:r w:rsidRPr="00633733">
        <w:rPr>
          <w:rFonts w:ascii="Times New Roman" w:hAnsi="Times New Roman"/>
          <w:sz w:val="24"/>
          <w:szCs w:val="24"/>
        </w:rPr>
        <w:t>търсими</w:t>
      </w:r>
      <w:proofErr w:type="spellEnd"/>
      <w:r w:rsidRPr="00633733">
        <w:rPr>
          <w:rFonts w:ascii="Times New Roman" w:hAnsi="Times New Roman"/>
          <w:sz w:val="24"/>
          <w:szCs w:val="24"/>
        </w:rPr>
        <w:t xml:space="preserve"> задължения са длъжни да се обърнат първо към </w:t>
      </w:r>
      <w:proofErr w:type="spellStart"/>
      <w:r w:rsidRPr="00633733">
        <w:rPr>
          <w:rFonts w:ascii="Times New Roman" w:hAnsi="Times New Roman"/>
          <w:sz w:val="24"/>
          <w:szCs w:val="24"/>
        </w:rPr>
        <w:t>отчуждителя</w:t>
      </w:r>
      <w:proofErr w:type="spellEnd"/>
      <w:r w:rsidRPr="00633733">
        <w:rPr>
          <w:rFonts w:ascii="Times New Roman" w:hAnsi="Times New Roman"/>
          <w:sz w:val="24"/>
          <w:szCs w:val="24"/>
        </w:rPr>
        <w:t xml:space="preserve"> на предприятието. Ако се извършват фиктивни сделки, то тук органите на приходната администрация би следвало да вземат отношение.</w:t>
      </w:r>
    </w:p>
    <w:p w:rsidR="00B32005" w:rsidRPr="00633733" w:rsidRDefault="00B32005"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lastRenderedPageBreak/>
        <w:t>Независимо от изложените мотиви следва да се изтъкне, че практическ</w:t>
      </w:r>
      <w:r w:rsidR="002A0E36" w:rsidRPr="00633733">
        <w:rPr>
          <w:rFonts w:ascii="Times New Roman" w:hAnsi="Times New Roman"/>
          <w:sz w:val="24"/>
          <w:szCs w:val="24"/>
        </w:rPr>
        <w:t xml:space="preserve">и </w:t>
      </w:r>
      <w:r w:rsidRPr="00633733">
        <w:rPr>
          <w:rFonts w:ascii="Times New Roman" w:hAnsi="Times New Roman"/>
          <w:sz w:val="24"/>
          <w:szCs w:val="24"/>
        </w:rPr>
        <w:t xml:space="preserve">би било изключително трудно установяването </w:t>
      </w:r>
      <w:r w:rsidR="002A0E36" w:rsidRPr="00633733">
        <w:rPr>
          <w:rFonts w:ascii="Times New Roman" w:hAnsi="Times New Roman"/>
          <w:sz w:val="24"/>
          <w:szCs w:val="24"/>
        </w:rPr>
        <w:t xml:space="preserve">- </w:t>
      </w:r>
      <w:r w:rsidRPr="00633733">
        <w:rPr>
          <w:rFonts w:ascii="Times New Roman" w:hAnsi="Times New Roman"/>
          <w:sz w:val="24"/>
          <w:szCs w:val="24"/>
        </w:rPr>
        <w:t xml:space="preserve">от страна на Агенцията по вписвания </w:t>
      </w:r>
      <w:r w:rsidR="002A0E36" w:rsidRPr="00633733">
        <w:rPr>
          <w:rFonts w:ascii="Times New Roman" w:hAnsi="Times New Roman"/>
          <w:sz w:val="24"/>
          <w:szCs w:val="24"/>
        </w:rPr>
        <w:t>-</w:t>
      </w:r>
      <w:r w:rsidRPr="00633733">
        <w:rPr>
          <w:rFonts w:ascii="Times New Roman" w:hAnsi="Times New Roman"/>
          <w:sz w:val="24"/>
          <w:szCs w:val="24"/>
        </w:rPr>
        <w:t xml:space="preserve">на изискванията, описани в посочените нормативни разпоредби </w:t>
      </w:r>
      <w:r w:rsidRPr="00633733">
        <w:rPr>
          <w:rFonts w:ascii="Times New Roman" w:hAnsi="Times New Roman"/>
          <w:sz w:val="24"/>
          <w:szCs w:val="24"/>
          <w:lang w:val="en-US"/>
        </w:rPr>
        <w:t>(</w:t>
      </w:r>
      <w:r w:rsidRPr="00633733">
        <w:rPr>
          <w:rFonts w:ascii="Times New Roman" w:hAnsi="Times New Roman"/>
          <w:sz w:val="24"/>
          <w:szCs w:val="24"/>
        </w:rPr>
        <w:t>наличието/липсата на неизплатени трудови възнаграж</w:t>
      </w:r>
      <w:r w:rsidR="00357FBB" w:rsidRPr="00633733">
        <w:rPr>
          <w:rFonts w:ascii="Times New Roman" w:hAnsi="Times New Roman"/>
          <w:sz w:val="24"/>
          <w:szCs w:val="24"/>
        </w:rPr>
        <w:t>дения, обезщетения, задължителн</w:t>
      </w:r>
      <w:r w:rsidRPr="00633733">
        <w:rPr>
          <w:rFonts w:ascii="Times New Roman" w:hAnsi="Times New Roman"/>
          <w:sz w:val="24"/>
          <w:szCs w:val="24"/>
        </w:rPr>
        <w:t>и осигурителни вноски на работници и служители, вкл. и на такива с прекратени трудови правоотношения</w:t>
      </w:r>
      <w:r w:rsidR="00357FBB" w:rsidRPr="00633733">
        <w:rPr>
          <w:rFonts w:ascii="Times New Roman" w:hAnsi="Times New Roman"/>
          <w:sz w:val="24"/>
          <w:szCs w:val="24"/>
          <w:lang w:val="en-US"/>
        </w:rPr>
        <w:t>)</w:t>
      </w:r>
      <w:r w:rsidR="00357FBB" w:rsidRPr="00633733">
        <w:rPr>
          <w:rFonts w:ascii="Times New Roman" w:hAnsi="Times New Roman"/>
          <w:sz w:val="24"/>
          <w:szCs w:val="24"/>
        </w:rPr>
        <w:t xml:space="preserve">. Липсата на механизъм за проверка на тези обстоятелства лишава от каквато и да било гаранция спазването на тези задължения от работодателя/съдружника. </w:t>
      </w:r>
    </w:p>
    <w:p w:rsidR="00357FBB"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3.2</w:t>
      </w:r>
      <w:r w:rsidRPr="00633733">
        <w:rPr>
          <w:rFonts w:ascii="Times New Roman" w:hAnsi="Times New Roman"/>
          <w:sz w:val="24"/>
          <w:szCs w:val="24"/>
        </w:rPr>
        <w:t xml:space="preserve"> С предложените изменения и допълнения в чл. 625 на ТЗ се дава възможност и на работниците и служителите да искат откриване на производство по несъстоятелност при неиздължени трудови възнаграждения. </w:t>
      </w:r>
    </w:p>
    <w:p w:rsidR="00357FBB" w:rsidRPr="00633733" w:rsidRDefault="00357FBB"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Подобно предложение е лишено от каквато и да е логика, при условие, че:</w:t>
      </w:r>
    </w:p>
    <w:p w:rsidR="002A0E36" w:rsidRPr="00633733" w:rsidRDefault="00357FBB" w:rsidP="00633733">
      <w:pPr>
        <w:pStyle w:val="ListParagraph"/>
        <w:numPr>
          <w:ilvl w:val="0"/>
          <w:numId w:val="1"/>
        </w:num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съгл. чл. 687, ал. 1 от ТЗ след откриване на производството по нес</w:t>
      </w:r>
      <w:r w:rsidR="002A0E36" w:rsidRPr="00633733">
        <w:rPr>
          <w:rFonts w:ascii="Times New Roman" w:hAnsi="Times New Roman"/>
          <w:sz w:val="24"/>
          <w:szCs w:val="24"/>
        </w:rPr>
        <w:t>ъстоятелност синдикът вписва сл</w:t>
      </w:r>
      <w:r w:rsidRPr="00633733">
        <w:rPr>
          <w:rFonts w:ascii="Times New Roman" w:hAnsi="Times New Roman"/>
          <w:sz w:val="24"/>
          <w:szCs w:val="24"/>
        </w:rPr>
        <w:t>ужебно в списъка на приетите вземания всички вземания на работник или служител, произтичащи от трудови правоотношения с длъжника – с други думи за работника/служителя липсва какъвто и да е правен интерес за подаване на молба за откриване на п</w:t>
      </w:r>
      <w:r w:rsidR="002A0E36" w:rsidRPr="00633733">
        <w:rPr>
          <w:rFonts w:ascii="Times New Roman" w:hAnsi="Times New Roman"/>
          <w:sz w:val="24"/>
          <w:szCs w:val="24"/>
        </w:rPr>
        <w:t>ро</w:t>
      </w:r>
      <w:r w:rsidRPr="00633733">
        <w:rPr>
          <w:rFonts w:ascii="Times New Roman" w:hAnsi="Times New Roman"/>
          <w:sz w:val="24"/>
          <w:szCs w:val="24"/>
        </w:rPr>
        <w:t xml:space="preserve">изводство по несъстоятелност, при условие, че след постановяване на съдебното решение за откриване на производство по несъстоятелност работникът/служителят ще бъде вписан служебно като кредитор на </w:t>
      </w:r>
      <w:r w:rsidR="002A0E36" w:rsidRPr="00633733">
        <w:rPr>
          <w:rFonts w:ascii="Times New Roman" w:hAnsi="Times New Roman"/>
          <w:sz w:val="24"/>
          <w:szCs w:val="24"/>
        </w:rPr>
        <w:t>неплатежоспособния длъжник;</w:t>
      </w:r>
    </w:p>
    <w:p w:rsidR="002A0E36" w:rsidRPr="00633733" w:rsidRDefault="002A0E36" w:rsidP="00633733">
      <w:pPr>
        <w:pStyle w:val="NormalWeb"/>
        <w:numPr>
          <w:ilvl w:val="0"/>
          <w:numId w:val="1"/>
        </w:numPr>
        <w:ind w:firstLine="567"/>
      </w:pPr>
      <w:proofErr w:type="spellStart"/>
      <w:proofErr w:type="gramStart"/>
      <w:r w:rsidRPr="00633733">
        <w:t>съгласно</w:t>
      </w:r>
      <w:proofErr w:type="spellEnd"/>
      <w:proofErr w:type="gramEnd"/>
      <w:r w:rsidRPr="00633733">
        <w:t xml:space="preserve"> 637, </w:t>
      </w:r>
      <w:proofErr w:type="spellStart"/>
      <w:r w:rsidRPr="00633733">
        <w:t>ал</w:t>
      </w:r>
      <w:proofErr w:type="spellEnd"/>
      <w:r w:rsidRPr="00633733">
        <w:t xml:space="preserve">. </w:t>
      </w:r>
      <w:proofErr w:type="gramStart"/>
      <w:r w:rsidRPr="00633733">
        <w:t xml:space="preserve">6 </w:t>
      </w:r>
      <w:r w:rsidRPr="00633733">
        <w:rPr>
          <w:lang w:val="bg-BG"/>
        </w:rPr>
        <w:t xml:space="preserve"> от</w:t>
      </w:r>
      <w:proofErr w:type="gramEnd"/>
      <w:r w:rsidRPr="00633733">
        <w:rPr>
          <w:lang w:val="bg-BG"/>
        </w:rPr>
        <w:t xml:space="preserve"> ТЗ, налице е обща забрана за образуване на нови съдебни производства след откриване на  </w:t>
      </w:r>
      <w:proofErr w:type="spellStart"/>
      <w:r w:rsidRPr="00633733">
        <w:t>производство</w:t>
      </w:r>
      <w:proofErr w:type="spellEnd"/>
      <w:r w:rsidRPr="00633733">
        <w:t xml:space="preserve"> </w:t>
      </w:r>
      <w:proofErr w:type="spellStart"/>
      <w:r w:rsidRPr="00633733">
        <w:t>по</w:t>
      </w:r>
      <w:proofErr w:type="spellEnd"/>
      <w:r w:rsidRPr="00633733">
        <w:t xml:space="preserve"> </w:t>
      </w:r>
      <w:proofErr w:type="spellStart"/>
      <w:r w:rsidRPr="00633733">
        <w:t>несъстоятелност</w:t>
      </w:r>
      <w:proofErr w:type="spellEnd"/>
      <w:r w:rsidRPr="00633733">
        <w:rPr>
          <w:lang w:val="bg-BG"/>
        </w:rPr>
        <w:t>, но това не се отнася до трудовите спорове.</w:t>
      </w:r>
    </w:p>
    <w:p w:rsidR="002A0E36" w:rsidRPr="00633733" w:rsidRDefault="002A0E36" w:rsidP="00633733">
      <w:pPr>
        <w:pStyle w:val="ListParagraph"/>
        <w:spacing w:before="120" w:after="0" w:line="360" w:lineRule="auto"/>
        <w:ind w:left="1145" w:firstLine="567"/>
        <w:jc w:val="both"/>
        <w:rPr>
          <w:rFonts w:ascii="Times New Roman" w:hAnsi="Times New Roman"/>
          <w:sz w:val="24"/>
          <w:szCs w:val="24"/>
        </w:rPr>
      </w:pPr>
      <w:bookmarkStart w:id="1" w:name="to_paragraph_id3708312"/>
      <w:bookmarkEnd w:id="1"/>
    </w:p>
    <w:p w:rsidR="00034609" w:rsidRPr="00633733" w:rsidRDefault="002A0E36"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Към изложеното следва да се добави, че н</w:t>
      </w:r>
      <w:r w:rsidR="00034609" w:rsidRPr="00633733">
        <w:rPr>
          <w:rFonts w:ascii="Times New Roman" w:hAnsi="Times New Roman"/>
          <w:sz w:val="24"/>
          <w:szCs w:val="24"/>
        </w:rPr>
        <w:t xml:space="preserve">еизплащането или забавянето на трудовите възнаграждения на работниците и служителите в голяма част от случаите се дължи не на виновно поведение на работодателя, а на обективни причини, често независещи от него (невъзстановен данъчен кредит по ДДС, </w:t>
      </w:r>
      <w:proofErr w:type="spellStart"/>
      <w:r w:rsidR="00034609" w:rsidRPr="00633733">
        <w:rPr>
          <w:rFonts w:ascii="Times New Roman" w:hAnsi="Times New Roman"/>
          <w:sz w:val="24"/>
          <w:szCs w:val="24"/>
        </w:rPr>
        <w:t>запориране</w:t>
      </w:r>
      <w:proofErr w:type="spellEnd"/>
      <w:r w:rsidR="00034609" w:rsidRPr="00633733">
        <w:rPr>
          <w:rFonts w:ascii="Times New Roman" w:hAnsi="Times New Roman"/>
          <w:sz w:val="24"/>
          <w:szCs w:val="24"/>
        </w:rPr>
        <w:t xml:space="preserve"> на сметки от данъчната администрация като обезпечение в хода на данъчни проверки без издаден акт, оспорен и отпаднал при </w:t>
      </w:r>
      <w:proofErr w:type="spellStart"/>
      <w:r w:rsidR="00034609" w:rsidRPr="00633733">
        <w:rPr>
          <w:rFonts w:ascii="Times New Roman" w:hAnsi="Times New Roman"/>
          <w:sz w:val="24"/>
          <w:szCs w:val="24"/>
        </w:rPr>
        <w:t>последващо</w:t>
      </w:r>
      <w:proofErr w:type="spellEnd"/>
      <w:r w:rsidR="00034609" w:rsidRPr="00633733">
        <w:rPr>
          <w:rFonts w:ascii="Times New Roman" w:hAnsi="Times New Roman"/>
          <w:sz w:val="24"/>
          <w:szCs w:val="24"/>
        </w:rPr>
        <w:t xml:space="preserve"> решение на съда, забавени плащания по линия на продажбите, както и по обществени поръчки с възложител държавен орган или община, и т.н.).</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Доколкото вземанията по трудови правоотношения не са вземания по търговски сделки или във връзка с търговска дейност, в Кодекса на труда е предвидена възможност за едностранно прекратяване на трудовото правоотношение при забавяне на изплащането на </w:t>
      </w:r>
      <w:r w:rsidRPr="00633733">
        <w:rPr>
          <w:rFonts w:ascii="Times New Roman" w:hAnsi="Times New Roman"/>
          <w:sz w:val="24"/>
          <w:szCs w:val="24"/>
        </w:rPr>
        <w:lastRenderedPageBreak/>
        <w:t xml:space="preserve">трудовото възнаграждение. С цел защита на правата на работниците и служителите е създаден специален гаранционен механизъм и Фонд “Гарантирани вземания на работниците и служителите”, като Законът за гарантираните вземания на работниците и служителите при несъстоятелност на работодателя изцяло транспонира изискванията на </w:t>
      </w:r>
      <w:r w:rsidR="00070B08" w:rsidRPr="00633733">
        <w:rPr>
          <w:rFonts w:ascii="Times New Roman" w:hAnsi="Times New Roman"/>
          <w:sz w:val="24"/>
          <w:szCs w:val="24"/>
        </w:rPr>
        <w:t>Директива 2008/94/ЕО на Европейския Парламент и на Съвета от 22 октомври 2008 година относно закрилата на работниците и служителите в случай на неплатежоспособност на техния работодател.</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3.</w:t>
      </w:r>
      <w:proofErr w:type="spellStart"/>
      <w:r w:rsidRPr="00633733">
        <w:rPr>
          <w:rFonts w:ascii="Times New Roman" w:hAnsi="Times New Roman"/>
          <w:b/>
          <w:sz w:val="24"/>
          <w:szCs w:val="24"/>
        </w:rPr>
        <w:t>3</w:t>
      </w:r>
      <w:proofErr w:type="spellEnd"/>
      <w:r w:rsidRPr="00633733">
        <w:rPr>
          <w:rFonts w:ascii="Times New Roman" w:hAnsi="Times New Roman"/>
          <w:b/>
          <w:sz w:val="24"/>
          <w:szCs w:val="24"/>
        </w:rPr>
        <w:t>.</w:t>
      </w:r>
      <w:r w:rsidRPr="00633733">
        <w:rPr>
          <w:rFonts w:ascii="Times New Roman" w:hAnsi="Times New Roman"/>
          <w:sz w:val="24"/>
          <w:szCs w:val="24"/>
        </w:rPr>
        <w:t xml:space="preserve"> Промените в чл. 687, чл. 703 чл. 722 на ТЗ целят промяна на </w:t>
      </w:r>
      <w:proofErr w:type="spellStart"/>
      <w:r w:rsidRPr="00633733">
        <w:rPr>
          <w:rFonts w:ascii="Times New Roman" w:hAnsi="Times New Roman"/>
          <w:sz w:val="24"/>
          <w:szCs w:val="24"/>
        </w:rPr>
        <w:t>поредността</w:t>
      </w:r>
      <w:proofErr w:type="spellEnd"/>
      <w:r w:rsidRPr="00633733">
        <w:rPr>
          <w:rFonts w:ascii="Times New Roman" w:hAnsi="Times New Roman"/>
          <w:sz w:val="24"/>
          <w:szCs w:val="24"/>
        </w:rPr>
        <w:t xml:space="preserve"> на вземанията при разпределение на осребреното имущество след откриване на производството по несъстоятелност и съответните квоти за гласуване на оздравителни планове. Предвижда се изплащането на вземанията на работниците и служителите, произтичащи от трудови правоотношения, от четвърто място да се постави на първо място по реда за удовлетворяване на кредиторите съгласно чл.722 от Търговския закон</w:t>
      </w:r>
      <w:r w:rsidR="009B2C0E" w:rsidRPr="00633733">
        <w:rPr>
          <w:rFonts w:ascii="Times New Roman" w:hAnsi="Times New Roman"/>
          <w:sz w:val="24"/>
          <w:szCs w:val="24"/>
        </w:rPr>
        <w:t xml:space="preserve">, като „измества“ кредиторите с обезпечени вземания </w:t>
      </w:r>
      <w:r w:rsidR="009B2C0E" w:rsidRPr="00633733">
        <w:rPr>
          <w:rFonts w:ascii="Times New Roman" w:hAnsi="Times New Roman"/>
          <w:sz w:val="24"/>
          <w:szCs w:val="24"/>
          <w:lang w:val="en-US"/>
        </w:rPr>
        <w:t>(</w:t>
      </w:r>
      <w:r w:rsidR="009B2C0E" w:rsidRPr="00633733">
        <w:rPr>
          <w:rFonts w:ascii="Times New Roman" w:hAnsi="Times New Roman"/>
          <w:sz w:val="24"/>
          <w:szCs w:val="24"/>
        </w:rPr>
        <w:t>залог, ипотека, възбрана, вземания с упражнено право на задържане</w:t>
      </w:r>
      <w:r w:rsidR="009B2C0E" w:rsidRPr="00633733">
        <w:rPr>
          <w:rFonts w:ascii="Times New Roman" w:hAnsi="Times New Roman"/>
          <w:sz w:val="24"/>
          <w:szCs w:val="24"/>
          <w:lang w:val="en-US"/>
        </w:rPr>
        <w:t>)</w:t>
      </w:r>
      <w:r w:rsidR="00633733" w:rsidRPr="00633733">
        <w:rPr>
          <w:rFonts w:ascii="Times New Roman" w:hAnsi="Times New Roman"/>
          <w:sz w:val="24"/>
          <w:szCs w:val="24"/>
        </w:rPr>
        <w:t>.</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 xml:space="preserve">Предложения за законодателни промени от такъв характер следва да бъдат предшествани от прецизна и задълбочена оценка на тяхното цялостно въздействие върху банковата система, държавния бюджет, икономиката, пазара на труда и проучване на практиката на държавите членки на ЕС Необходимо е да се прецени преди всичко по какъв начин създаването на законодателни условия, увеличаващи риска от фалит, ще се отрази на заетостта и възможностите за запазване и разширяване на работни места, особено в условията продължаващ натиск върху заетостта в голяма част от общините с продължаваща икономическа депресия. Отреждането на първо място на работниците в списъка на кредиторите при несъстоятелност, преди обезпечените вземания, обезсмисля правните институти на залога, ипотеката, запора и възбраната като инструменти, охраняващи сигурността на търговския оборот и кредитирането. Липсата на правна сигурност, на </w:t>
      </w:r>
      <w:proofErr w:type="spellStart"/>
      <w:r w:rsidRPr="00633733">
        <w:rPr>
          <w:rFonts w:ascii="Times New Roman" w:hAnsi="Times New Roman"/>
          <w:sz w:val="24"/>
          <w:szCs w:val="24"/>
        </w:rPr>
        <w:t>предвидимост</w:t>
      </w:r>
      <w:proofErr w:type="spellEnd"/>
      <w:r w:rsidRPr="00633733">
        <w:rPr>
          <w:rFonts w:ascii="Times New Roman" w:hAnsi="Times New Roman"/>
          <w:sz w:val="24"/>
          <w:szCs w:val="24"/>
        </w:rPr>
        <w:t xml:space="preserve"> в търговските отношения, както и блокирането на кредитната дейност на банките ще има изключително негативни последици за икономиката, в това число и за трудовата заетост.</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4.</w:t>
      </w:r>
      <w:r w:rsidRPr="00633733">
        <w:rPr>
          <w:rFonts w:ascii="Times New Roman" w:hAnsi="Times New Roman"/>
          <w:b/>
          <w:sz w:val="24"/>
          <w:szCs w:val="24"/>
        </w:rPr>
        <w:tab/>
      </w:r>
      <w:r w:rsidR="009B2C0E" w:rsidRPr="00633733">
        <w:rPr>
          <w:rFonts w:ascii="Times New Roman" w:hAnsi="Times New Roman"/>
          <w:sz w:val="24"/>
          <w:szCs w:val="24"/>
        </w:rPr>
        <w:t>Не е налице предварителна оценка на въздействието за</w:t>
      </w:r>
      <w:r w:rsidR="009B2C0E" w:rsidRPr="00633733">
        <w:rPr>
          <w:rFonts w:ascii="Times New Roman" w:hAnsi="Times New Roman"/>
          <w:b/>
          <w:sz w:val="24"/>
          <w:szCs w:val="24"/>
        </w:rPr>
        <w:t xml:space="preserve"> </w:t>
      </w:r>
      <w:r w:rsidR="009B2C0E" w:rsidRPr="00633733">
        <w:rPr>
          <w:rFonts w:ascii="Times New Roman" w:hAnsi="Times New Roman"/>
          <w:sz w:val="24"/>
          <w:szCs w:val="24"/>
        </w:rPr>
        <w:t>п</w:t>
      </w:r>
      <w:r w:rsidRPr="00633733">
        <w:rPr>
          <w:rFonts w:ascii="Times New Roman" w:hAnsi="Times New Roman"/>
          <w:sz w:val="24"/>
          <w:szCs w:val="24"/>
        </w:rPr>
        <w:t>редложеното в §</w:t>
      </w:r>
      <w:r w:rsidR="00070B08" w:rsidRPr="00633733">
        <w:rPr>
          <w:rFonts w:ascii="Times New Roman" w:hAnsi="Times New Roman"/>
          <w:sz w:val="24"/>
          <w:szCs w:val="24"/>
          <w:lang w:val="en-US"/>
        </w:rPr>
        <w:t xml:space="preserve"> 6</w:t>
      </w:r>
      <w:r w:rsidRPr="00633733">
        <w:rPr>
          <w:rFonts w:ascii="Times New Roman" w:hAnsi="Times New Roman"/>
          <w:sz w:val="24"/>
          <w:szCs w:val="24"/>
        </w:rPr>
        <w:t xml:space="preserve"> удължаване от три на дванадесет месеца на периода между прекратяване на трудовото правоотношение и датата на вписване в търговския регистър на съдебното решение за откриване на производство по несъстоятелност е прекомерно. </w:t>
      </w:r>
      <w:r w:rsidR="009B2C0E" w:rsidRPr="00633733">
        <w:rPr>
          <w:rFonts w:ascii="Times New Roman" w:hAnsi="Times New Roman"/>
          <w:sz w:val="24"/>
          <w:szCs w:val="24"/>
        </w:rPr>
        <w:t xml:space="preserve">Подобно удължаване на срока безспорно ще увеличи броя и размера на вземанията към фонда, а в мотивите на законопроекта не е налице преценка дали фондът ще има такива финансови възможности.  </w:t>
      </w:r>
      <w:r w:rsidRPr="00633733">
        <w:rPr>
          <w:rFonts w:ascii="Times New Roman" w:hAnsi="Times New Roman"/>
          <w:sz w:val="24"/>
          <w:szCs w:val="24"/>
        </w:rPr>
        <w:t xml:space="preserve">Следва да се </w:t>
      </w:r>
      <w:r w:rsidRPr="00633733">
        <w:rPr>
          <w:rFonts w:ascii="Times New Roman" w:hAnsi="Times New Roman"/>
          <w:sz w:val="24"/>
          <w:szCs w:val="24"/>
        </w:rPr>
        <w:lastRenderedPageBreak/>
        <w:t>анализира допълнително досегашната практика, респективно броят на отказите и общият размер на неизплатени гарантирани вземания на посочените основания.</w:t>
      </w:r>
    </w:p>
    <w:p w:rsidR="001E2251"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5.</w:t>
      </w:r>
      <w:r w:rsidRPr="00633733">
        <w:rPr>
          <w:rFonts w:ascii="Times New Roman" w:hAnsi="Times New Roman"/>
          <w:sz w:val="24"/>
          <w:szCs w:val="24"/>
        </w:rPr>
        <w:tab/>
        <w:t xml:space="preserve">Предложените в §7 ограничения </w:t>
      </w:r>
      <w:r w:rsidR="001E2251" w:rsidRPr="00633733">
        <w:rPr>
          <w:rFonts w:ascii="Times New Roman" w:hAnsi="Times New Roman"/>
          <w:sz w:val="24"/>
          <w:szCs w:val="24"/>
        </w:rPr>
        <w:t xml:space="preserve">необосновано </w:t>
      </w:r>
      <w:r w:rsidR="00070B08" w:rsidRPr="00633733">
        <w:rPr>
          <w:rFonts w:ascii="Times New Roman" w:hAnsi="Times New Roman"/>
          <w:sz w:val="24"/>
          <w:szCs w:val="24"/>
        </w:rPr>
        <w:t>препятстват</w:t>
      </w:r>
      <w:r w:rsidRPr="00633733">
        <w:rPr>
          <w:rFonts w:ascii="Times New Roman" w:hAnsi="Times New Roman"/>
          <w:sz w:val="24"/>
          <w:szCs w:val="24"/>
        </w:rPr>
        <w:t xml:space="preserve"> </w:t>
      </w:r>
      <w:r w:rsidR="001E2251" w:rsidRPr="00633733">
        <w:rPr>
          <w:rFonts w:ascii="Times New Roman" w:hAnsi="Times New Roman"/>
          <w:sz w:val="24"/>
          <w:szCs w:val="24"/>
        </w:rPr>
        <w:t>достъпа до обществени поръчки, тъй като „</w:t>
      </w:r>
      <w:proofErr w:type="spellStart"/>
      <w:r w:rsidR="001E2251" w:rsidRPr="00633733">
        <w:rPr>
          <w:rFonts w:ascii="Times New Roman" w:hAnsi="Times New Roman"/>
          <w:sz w:val="24"/>
          <w:szCs w:val="24"/>
        </w:rPr>
        <w:t>презумира</w:t>
      </w:r>
      <w:r w:rsidR="00070B08" w:rsidRPr="00633733">
        <w:rPr>
          <w:rFonts w:ascii="Times New Roman" w:hAnsi="Times New Roman"/>
          <w:sz w:val="24"/>
          <w:szCs w:val="24"/>
        </w:rPr>
        <w:t>т</w:t>
      </w:r>
      <w:proofErr w:type="spellEnd"/>
      <w:r w:rsidR="001E2251" w:rsidRPr="00633733">
        <w:rPr>
          <w:rFonts w:ascii="Times New Roman" w:hAnsi="Times New Roman"/>
          <w:sz w:val="24"/>
          <w:szCs w:val="24"/>
        </w:rPr>
        <w:t xml:space="preserve">“ виновност на кандидата </w:t>
      </w:r>
      <w:r w:rsidR="001E2251" w:rsidRPr="00633733">
        <w:rPr>
          <w:rFonts w:ascii="Times New Roman" w:hAnsi="Times New Roman"/>
          <w:sz w:val="24"/>
          <w:szCs w:val="24"/>
          <w:lang w:val="en-US"/>
        </w:rPr>
        <w:t>(</w:t>
      </w:r>
      <w:r w:rsidR="001E2251" w:rsidRPr="00633733">
        <w:rPr>
          <w:rFonts w:ascii="Times New Roman" w:hAnsi="Times New Roman"/>
          <w:sz w:val="24"/>
          <w:szCs w:val="24"/>
        </w:rPr>
        <w:t>без наличие на влязъл в сила акт на компетентен орган</w:t>
      </w:r>
      <w:r w:rsidR="001E2251" w:rsidRPr="00633733">
        <w:rPr>
          <w:rFonts w:ascii="Times New Roman" w:hAnsi="Times New Roman"/>
          <w:sz w:val="24"/>
          <w:szCs w:val="24"/>
          <w:lang w:val="en-US"/>
        </w:rPr>
        <w:t>)</w:t>
      </w:r>
      <w:r w:rsidR="001E2251" w:rsidRPr="00633733">
        <w:rPr>
          <w:rFonts w:ascii="Times New Roman" w:hAnsi="Times New Roman"/>
          <w:sz w:val="24"/>
          <w:szCs w:val="24"/>
        </w:rPr>
        <w:t xml:space="preserve"> за спорни данъци и осигурителни вноски и спорни нарушения.</w:t>
      </w:r>
      <w:r w:rsidR="00256643" w:rsidRPr="00633733">
        <w:rPr>
          <w:rFonts w:ascii="Times New Roman" w:hAnsi="Times New Roman"/>
          <w:sz w:val="24"/>
          <w:szCs w:val="24"/>
        </w:rPr>
        <w:t xml:space="preserve"> Отделен е въпросът, че с подобна нормативна промяна може да се спекулира срещу отделни участници в процедурите по обществени поръчки.</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b/>
          <w:sz w:val="24"/>
          <w:szCs w:val="24"/>
        </w:rPr>
        <w:t>6.</w:t>
      </w:r>
      <w:r w:rsidRPr="00633733">
        <w:rPr>
          <w:rFonts w:ascii="Times New Roman" w:hAnsi="Times New Roman"/>
          <w:sz w:val="24"/>
          <w:szCs w:val="24"/>
        </w:rPr>
        <w:tab/>
        <w:t xml:space="preserve">Отреждането на първо място на работниците и служителите за предпочтително удовлетворение вземания по чл. 136 на </w:t>
      </w:r>
      <w:r w:rsidRPr="00633733">
        <w:rPr>
          <w:rFonts w:ascii="Times New Roman" w:hAnsi="Times New Roman"/>
          <w:b/>
          <w:sz w:val="24"/>
          <w:szCs w:val="24"/>
        </w:rPr>
        <w:t>Закона за задълженията и договорите</w:t>
      </w:r>
      <w:r w:rsidRPr="00633733">
        <w:rPr>
          <w:rFonts w:ascii="Times New Roman" w:hAnsi="Times New Roman"/>
          <w:sz w:val="24"/>
          <w:szCs w:val="24"/>
        </w:rPr>
        <w:t>, предвидено в §8 на предложенията, преди обезпечените вземания, обезсмисля правните институти на залога, ипотеката, запора и възбраната като инструменти, охраняващи сигурността на търговския оборот и кредитирането. Валидни са и другите аргументи, представени в т. 3.3 на настоящото становище.</w:t>
      </w:r>
    </w:p>
    <w:p w:rsidR="00034609" w:rsidRPr="00633733" w:rsidRDefault="00034609" w:rsidP="00633733">
      <w:pPr>
        <w:spacing w:before="120" w:after="0" w:line="360" w:lineRule="auto"/>
        <w:ind w:firstLine="567"/>
        <w:jc w:val="both"/>
        <w:rPr>
          <w:rFonts w:ascii="Times New Roman" w:hAnsi="Times New Roman"/>
          <w:sz w:val="24"/>
          <w:szCs w:val="24"/>
        </w:rPr>
      </w:pPr>
      <w:r w:rsidRPr="00633733">
        <w:rPr>
          <w:rFonts w:ascii="Times New Roman" w:hAnsi="Times New Roman"/>
          <w:sz w:val="24"/>
          <w:szCs w:val="24"/>
        </w:rPr>
        <w:t>В заключение подчертаваме, че по голяма част от тези предложения, пр</w:t>
      </w:r>
      <w:r w:rsidR="00AA5FAF" w:rsidRPr="00633733">
        <w:rPr>
          <w:rFonts w:ascii="Times New Roman" w:hAnsi="Times New Roman"/>
          <w:sz w:val="24"/>
          <w:szCs w:val="24"/>
        </w:rPr>
        <w:t>едставяни в предишни години, АОБР</w:t>
      </w:r>
      <w:r w:rsidRPr="00633733">
        <w:rPr>
          <w:rFonts w:ascii="Times New Roman" w:hAnsi="Times New Roman"/>
          <w:sz w:val="24"/>
          <w:szCs w:val="24"/>
        </w:rPr>
        <w:t xml:space="preserve"> е изразила сходни становища, които срещнаха категорична подкрепа от експертната общност в правораздавателната и финансовата системи.</w:t>
      </w: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firstLine="567"/>
        <w:jc w:val="both"/>
        <w:rPr>
          <w:rFonts w:ascii="Times New Roman" w:hAnsi="Times New Roman"/>
          <w:b/>
          <w:sz w:val="24"/>
          <w:szCs w:val="24"/>
        </w:rPr>
      </w:pPr>
      <w:r w:rsidRPr="00633733">
        <w:rPr>
          <w:rFonts w:ascii="Times New Roman" w:hAnsi="Times New Roman"/>
          <w:b/>
          <w:sz w:val="24"/>
          <w:szCs w:val="24"/>
        </w:rPr>
        <w:t>С УВАЖЕНИЕ,</w:t>
      </w:r>
      <w:r w:rsidRPr="00633733">
        <w:rPr>
          <w:rFonts w:ascii="Times New Roman" w:hAnsi="Times New Roman"/>
          <w:b/>
          <w:sz w:val="24"/>
          <w:szCs w:val="24"/>
        </w:rPr>
        <w:tab/>
      </w: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firstLine="567"/>
        <w:jc w:val="both"/>
        <w:rPr>
          <w:rFonts w:ascii="Times New Roman" w:hAnsi="Times New Roman"/>
          <w:b/>
          <w:sz w:val="24"/>
          <w:szCs w:val="24"/>
        </w:rPr>
      </w:pPr>
      <w:r w:rsidRPr="00633733">
        <w:rPr>
          <w:rFonts w:ascii="Times New Roman" w:hAnsi="Times New Roman"/>
          <w:b/>
          <w:sz w:val="24"/>
          <w:szCs w:val="24"/>
        </w:rPr>
        <w:tab/>
        <w:t>ОТ ИМЕТО И ПО ПОРЪЧЕНИЕ НА АИКБ, БСК, БТПП И КРИБ:</w:t>
      </w: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left="4107" w:firstLine="567"/>
        <w:jc w:val="both"/>
        <w:rPr>
          <w:rFonts w:ascii="Times New Roman" w:hAnsi="Times New Roman"/>
          <w:b/>
          <w:sz w:val="24"/>
          <w:szCs w:val="24"/>
        </w:rPr>
      </w:pPr>
      <w:r w:rsidRPr="00633733">
        <w:rPr>
          <w:rFonts w:ascii="Times New Roman" w:hAnsi="Times New Roman"/>
          <w:b/>
          <w:sz w:val="24"/>
          <w:szCs w:val="24"/>
        </w:rPr>
        <w:t>ВАСИЛ ВЕЛЕВ,</w:t>
      </w:r>
    </w:p>
    <w:p w:rsidR="00070B08" w:rsidRPr="00633733" w:rsidRDefault="00070B08" w:rsidP="00633733">
      <w:pPr>
        <w:spacing w:after="120" w:line="240" w:lineRule="auto"/>
        <w:ind w:left="4107" w:firstLine="567"/>
        <w:jc w:val="both"/>
        <w:rPr>
          <w:rFonts w:ascii="Times New Roman" w:hAnsi="Times New Roman"/>
          <w:b/>
          <w:sz w:val="24"/>
          <w:szCs w:val="24"/>
        </w:rPr>
      </w:pPr>
      <w:r w:rsidRPr="00633733">
        <w:rPr>
          <w:rFonts w:ascii="Times New Roman" w:hAnsi="Times New Roman"/>
          <w:b/>
          <w:sz w:val="24"/>
          <w:szCs w:val="24"/>
        </w:rPr>
        <w:t>ПРЕДСЕДАТЕЛ НА УС НА АИКБ И</w:t>
      </w:r>
    </w:p>
    <w:p w:rsidR="00070B08" w:rsidRPr="00633733" w:rsidRDefault="00070B08" w:rsidP="00633733">
      <w:pPr>
        <w:spacing w:after="120" w:line="240" w:lineRule="auto"/>
        <w:ind w:left="4107" w:firstLine="567"/>
        <w:jc w:val="both"/>
        <w:rPr>
          <w:rFonts w:ascii="Times New Roman" w:hAnsi="Times New Roman"/>
          <w:b/>
          <w:sz w:val="24"/>
          <w:szCs w:val="24"/>
        </w:rPr>
      </w:pPr>
      <w:r w:rsidRPr="00633733">
        <w:rPr>
          <w:rFonts w:ascii="Times New Roman" w:hAnsi="Times New Roman"/>
          <w:b/>
          <w:sz w:val="24"/>
          <w:szCs w:val="24"/>
        </w:rPr>
        <w:t>ПРЕДСЕДАТЕЛ НА АОБР ЗА 2017 Г.</w:t>
      </w:r>
    </w:p>
    <w:p w:rsidR="00070B08" w:rsidRPr="00633733" w:rsidRDefault="00070B08" w:rsidP="00633733">
      <w:pPr>
        <w:spacing w:after="120" w:line="240" w:lineRule="auto"/>
        <w:ind w:firstLine="567"/>
        <w:jc w:val="both"/>
        <w:rPr>
          <w:rFonts w:ascii="Times New Roman" w:hAnsi="Times New Roman"/>
          <w:b/>
          <w:sz w:val="24"/>
          <w:szCs w:val="24"/>
        </w:rPr>
      </w:pPr>
    </w:p>
    <w:p w:rsidR="00070B08" w:rsidRPr="00633733" w:rsidRDefault="00070B08" w:rsidP="00633733">
      <w:pPr>
        <w:spacing w:after="120" w:line="240" w:lineRule="auto"/>
        <w:ind w:firstLine="567"/>
        <w:jc w:val="both"/>
        <w:rPr>
          <w:rFonts w:ascii="Times New Roman" w:hAnsi="Times New Roman"/>
          <w:b/>
          <w:sz w:val="24"/>
          <w:szCs w:val="24"/>
        </w:rPr>
      </w:pPr>
    </w:p>
    <w:p w:rsidR="006F7A91" w:rsidRPr="00633733" w:rsidRDefault="00070B08" w:rsidP="00633733">
      <w:pPr>
        <w:spacing w:after="120" w:line="240" w:lineRule="auto"/>
        <w:ind w:firstLine="567"/>
        <w:jc w:val="both"/>
        <w:rPr>
          <w:rFonts w:ascii="Times New Roman" w:hAnsi="Times New Roman"/>
          <w:b/>
          <w:sz w:val="24"/>
          <w:szCs w:val="24"/>
        </w:rPr>
      </w:pPr>
      <w:r w:rsidRPr="00633733">
        <w:rPr>
          <w:rFonts w:ascii="Times New Roman" w:hAnsi="Times New Roman"/>
          <w:b/>
          <w:sz w:val="24"/>
          <w:szCs w:val="24"/>
        </w:rPr>
        <w:tab/>
      </w:r>
    </w:p>
    <w:p w:rsidR="00184453" w:rsidRPr="00633733" w:rsidRDefault="00184453" w:rsidP="00633733">
      <w:pPr>
        <w:spacing w:after="120" w:line="240" w:lineRule="auto"/>
        <w:ind w:firstLine="567"/>
        <w:jc w:val="both"/>
        <w:rPr>
          <w:rFonts w:ascii="Times New Roman" w:hAnsi="Times New Roman"/>
          <w:b/>
          <w:sz w:val="24"/>
          <w:szCs w:val="24"/>
        </w:rPr>
      </w:pPr>
    </w:p>
    <w:sectPr w:rsidR="00184453" w:rsidRPr="00633733" w:rsidSect="00AA5FAF">
      <w:footerReference w:type="default" r:id="rId9"/>
      <w:headerReference w:type="first" r:id="rId10"/>
      <w:footerReference w:type="first" r:id="rId11"/>
      <w:pgSz w:w="11906" w:h="16838"/>
      <w:pgMar w:top="993" w:right="991" w:bottom="1702" w:left="993" w:header="624" w:footer="8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BC" w:rsidRDefault="00DD13BC" w:rsidP="006F7A91">
      <w:pPr>
        <w:spacing w:after="0" w:line="240" w:lineRule="auto"/>
      </w:pPr>
      <w:r>
        <w:separator/>
      </w:r>
    </w:p>
  </w:endnote>
  <w:endnote w:type="continuationSeparator" w:id="0">
    <w:p w:rsidR="00DD13BC" w:rsidRDefault="00DD13BC" w:rsidP="006F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82885"/>
      <w:docPartObj>
        <w:docPartGallery w:val="Page Numbers (Bottom of Page)"/>
        <w:docPartUnique/>
      </w:docPartObj>
    </w:sdtPr>
    <w:sdtEndPr>
      <w:rPr>
        <w:noProof/>
      </w:rPr>
    </w:sdtEndPr>
    <w:sdtContent>
      <w:p w:rsidR="00AA5FAF" w:rsidRDefault="00AA5FAF">
        <w:pPr>
          <w:pStyle w:val="Footer"/>
          <w:jc w:val="right"/>
        </w:pPr>
        <w:r>
          <w:fldChar w:fldCharType="begin"/>
        </w:r>
        <w:r>
          <w:instrText xml:space="preserve"> PAGE   \* MERGEFORMAT </w:instrText>
        </w:r>
        <w:r>
          <w:fldChar w:fldCharType="separate"/>
        </w:r>
        <w:r w:rsidR="00FE2C95">
          <w:rPr>
            <w:noProof/>
          </w:rPr>
          <w:t>5</w:t>
        </w:r>
        <w:r>
          <w:rPr>
            <w:noProof/>
          </w:rPr>
          <w:fldChar w:fldCharType="end"/>
        </w:r>
      </w:p>
    </w:sdtContent>
  </w:sdt>
  <w:p w:rsidR="006F7A91" w:rsidRPr="00E74438" w:rsidRDefault="006F7A91" w:rsidP="00E74438">
    <w:pPr>
      <w:pStyle w:val="Footer"/>
      <w:pBdr>
        <w:top w:val="single" w:sz="4" w:space="1" w:color="1F4E79"/>
      </w:pBdr>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38" w:rsidRPr="00E74438" w:rsidRDefault="00E74438" w:rsidP="00E74438">
    <w:pPr>
      <w:pStyle w:val="Footer"/>
      <w:pBdr>
        <w:top w:val="single" w:sz="4" w:space="1" w:color="1F4E79"/>
      </w:pBdr>
      <w:rPr>
        <w:rFonts w:ascii="Tahoma" w:hAnsi="Tahoma" w:cs="Tahoma"/>
        <w:sz w:val="18"/>
        <w:szCs w:val="18"/>
      </w:rPr>
    </w:pPr>
    <w:r>
      <w:t xml:space="preserve">Стр. </w:t>
    </w:r>
    <w:r>
      <w:rPr>
        <w:b/>
        <w:bCs/>
        <w:sz w:val="24"/>
        <w:szCs w:val="24"/>
      </w:rPr>
      <w:fldChar w:fldCharType="begin"/>
    </w:r>
    <w:r>
      <w:rPr>
        <w:b/>
        <w:bCs/>
      </w:rPr>
      <w:instrText xml:space="preserve"> PAGE </w:instrText>
    </w:r>
    <w:r>
      <w:rPr>
        <w:b/>
        <w:bCs/>
        <w:sz w:val="24"/>
        <w:szCs w:val="24"/>
      </w:rPr>
      <w:fldChar w:fldCharType="separate"/>
    </w:r>
    <w:r w:rsidR="00FE2C95">
      <w:rPr>
        <w:b/>
        <w:bCs/>
        <w:noProof/>
      </w:rPr>
      <w:t>1</w:t>
    </w:r>
    <w:r>
      <w:rPr>
        <w:b/>
        <w:bCs/>
        <w:sz w:val="24"/>
        <w:szCs w:val="24"/>
      </w:rPr>
      <w:fldChar w:fldCharType="end"/>
    </w:r>
    <w:r>
      <w:t xml:space="preserve"> от </w:t>
    </w:r>
    <w:r>
      <w:rPr>
        <w:b/>
        <w:bCs/>
        <w:sz w:val="24"/>
        <w:szCs w:val="24"/>
      </w:rPr>
      <w:fldChar w:fldCharType="begin"/>
    </w:r>
    <w:r>
      <w:rPr>
        <w:b/>
        <w:bCs/>
      </w:rPr>
      <w:instrText xml:space="preserve"> NUMPAGES  </w:instrText>
    </w:r>
    <w:r>
      <w:rPr>
        <w:b/>
        <w:bCs/>
        <w:sz w:val="24"/>
        <w:szCs w:val="24"/>
      </w:rPr>
      <w:fldChar w:fldCharType="separate"/>
    </w:r>
    <w:r w:rsidR="00FE2C95">
      <w:rPr>
        <w:b/>
        <w:bCs/>
        <w:noProof/>
      </w:rPr>
      <w:t>6</w:t>
    </w:r>
    <w:r>
      <w:rPr>
        <w:b/>
        <w:bCs/>
        <w:sz w:val="24"/>
        <w:szCs w:val="24"/>
      </w:rPr>
      <w:fldChar w:fldCharType="end"/>
    </w:r>
    <w:r w:rsidRPr="00E74438">
      <w:rPr>
        <w:rFonts w:ascii="Tahoma" w:hAnsi="Tahoma" w:cs="Tahoma"/>
        <w:sz w:val="18"/>
        <w:szCs w:val="18"/>
      </w:rPr>
      <w:t>|</w:t>
    </w:r>
    <w:r w:rsidRPr="00E74438">
      <w:rPr>
        <w:rFonts w:ascii="Tahoma" w:hAnsi="Tahoma" w:cs="Tahoma"/>
        <w:sz w:val="18"/>
        <w:szCs w:val="18"/>
      </w:rPr>
      <w:fldChar w:fldCharType="begin"/>
    </w:r>
    <w:r w:rsidRPr="00E74438">
      <w:rPr>
        <w:rFonts w:ascii="Tahoma" w:hAnsi="Tahoma" w:cs="Tahoma"/>
        <w:sz w:val="18"/>
        <w:szCs w:val="18"/>
      </w:rPr>
      <w:instrText xml:space="preserve"> TIME \@ "dd MMMM yyyy 'г.'" </w:instrText>
    </w:r>
    <w:r w:rsidRPr="00E74438">
      <w:rPr>
        <w:rFonts w:ascii="Tahoma" w:hAnsi="Tahoma" w:cs="Tahoma"/>
        <w:sz w:val="18"/>
        <w:szCs w:val="18"/>
      </w:rPr>
      <w:fldChar w:fldCharType="separate"/>
    </w:r>
    <w:r w:rsidR="00FE2C95">
      <w:rPr>
        <w:rFonts w:ascii="Tahoma" w:hAnsi="Tahoma" w:cs="Tahoma"/>
        <w:noProof/>
        <w:sz w:val="18"/>
        <w:szCs w:val="18"/>
      </w:rPr>
      <w:t>16 май 2017 г.</w:t>
    </w:r>
    <w:r w:rsidRPr="00E74438">
      <w:rPr>
        <w:rFonts w:ascii="Tahoma" w:hAnsi="Tahoma" w:cs="Tahoma"/>
        <w:sz w:val="18"/>
        <w:szCs w:val="18"/>
      </w:rPr>
      <w:fldChar w:fldCharType="end"/>
    </w:r>
    <w:r>
      <w:rPr>
        <w:rFonts w:ascii="Tahoma" w:hAnsi="Tahoma" w:cs="Tahoma"/>
        <w:sz w:val="18"/>
        <w:szCs w:val="18"/>
      </w:rPr>
      <w:t>, Асоциация на организациите на българските работодатели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BC" w:rsidRDefault="00DD13BC" w:rsidP="006F7A91">
      <w:pPr>
        <w:spacing w:after="0" w:line="240" w:lineRule="auto"/>
      </w:pPr>
      <w:r>
        <w:separator/>
      </w:r>
    </w:p>
  </w:footnote>
  <w:footnote w:type="continuationSeparator" w:id="0">
    <w:p w:rsidR="00DD13BC" w:rsidRDefault="00DD13BC" w:rsidP="006F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7" w:type="dxa"/>
      <w:jc w:val="center"/>
      <w:tblBorders>
        <w:top w:val="single" w:sz="4" w:space="0" w:color="95B3D7"/>
        <w:left w:val="single" w:sz="4" w:space="0" w:color="95B3D7"/>
        <w:bottom w:val="single" w:sz="4" w:space="0" w:color="95B3D7"/>
        <w:right w:val="single" w:sz="4" w:space="0" w:color="95B3D7"/>
      </w:tblBorders>
      <w:tblLayout w:type="fixed"/>
      <w:tblLook w:val="04A0" w:firstRow="1" w:lastRow="0" w:firstColumn="1" w:lastColumn="0" w:noHBand="0" w:noVBand="1"/>
    </w:tblPr>
    <w:tblGrid>
      <w:gridCol w:w="2835"/>
      <w:gridCol w:w="2097"/>
      <w:gridCol w:w="2977"/>
      <w:gridCol w:w="2028"/>
    </w:tblGrid>
    <w:tr w:rsidR="00E74438" w:rsidRPr="00585518" w:rsidTr="00E74438">
      <w:trPr>
        <w:trHeight w:val="132"/>
        <w:jc w:val="center"/>
      </w:trPr>
      <w:tc>
        <w:tcPr>
          <w:tcW w:w="9937" w:type="dxa"/>
          <w:gridSpan w:val="4"/>
          <w:tcBorders>
            <w:top w:val="single" w:sz="4" w:space="0" w:color="95B3D7"/>
          </w:tcBorders>
          <w:vAlign w:val="center"/>
        </w:tcPr>
        <w:p w:rsidR="00E74438" w:rsidRDefault="00E74438" w:rsidP="00E74438">
          <w:pPr>
            <w:spacing w:after="0" w:line="240" w:lineRule="auto"/>
            <w:jc w:val="center"/>
            <w:outlineLvl w:val="0"/>
          </w:pPr>
          <w:r w:rsidRPr="00585518">
            <w:rPr>
              <w:rFonts w:ascii="Batang" w:eastAsia="Batang" w:hAnsi="Batang" w:cs="Tahoma"/>
              <w:b/>
              <w:noProof/>
              <w:color w:val="365F91"/>
              <w:szCs w:val="20"/>
              <w:lang w:eastAsia="bg-BG"/>
            </w:rPr>
            <w:t>АСОЦИАЦИЯ  НА  ОРГАНИЗАЦИИТЕ  НА  БЪЛГАРСКИТЕ  РАБОТОДАТЕЛИ</w:t>
          </w:r>
        </w:p>
      </w:tc>
    </w:tr>
    <w:tr w:rsidR="00E74438" w:rsidRPr="00585518" w:rsidTr="00E74438">
      <w:trPr>
        <w:trHeight w:val="794"/>
        <w:jc w:val="center"/>
      </w:trPr>
      <w:tc>
        <w:tcPr>
          <w:tcW w:w="2835" w:type="dxa"/>
          <w:tcBorders>
            <w:top w:val="single" w:sz="4" w:space="0" w:color="95B3D7"/>
          </w:tcBorders>
          <w:vAlign w:val="center"/>
        </w:tcPr>
        <w:p w:rsidR="00E74438" w:rsidRPr="00720BD2" w:rsidRDefault="00FC4A37" w:rsidP="00E74438">
          <w:pPr>
            <w:spacing w:after="0" w:line="240" w:lineRule="auto"/>
            <w:jc w:val="center"/>
            <w:outlineLvl w:val="0"/>
            <w:rPr>
              <w:rFonts w:ascii="Tahoma" w:eastAsia="Times New Roman" w:hAnsi="Tahoma" w:cs="Tahoma"/>
              <w:b/>
              <w:sz w:val="20"/>
              <w:szCs w:val="20"/>
              <w:lang w:eastAsia="bg-BG"/>
            </w:rPr>
          </w:pPr>
          <w:r>
            <w:rPr>
              <w:rFonts w:ascii="Tahoma" w:eastAsia="Times New Roman" w:hAnsi="Tahoma" w:cs="Tahoma"/>
              <w:b/>
              <w:noProof/>
              <w:sz w:val="20"/>
              <w:szCs w:val="20"/>
              <w:lang w:eastAsia="bg-BG"/>
            </w:rPr>
            <w:drawing>
              <wp:inline distT="0" distB="0" distL="0" distR="0" wp14:anchorId="4B2D3DFA" wp14:editId="21AF7B4F">
                <wp:extent cx="1567815" cy="391795"/>
                <wp:effectExtent l="0" t="0" r="0" b="8255"/>
                <wp:docPr id="49" name="Picture 49" descr="AI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91795"/>
                        </a:xfrm>
                        <a:prstGeom prst="rect">
                          <a:avLst/>
                        </a:prstGeom>
                        <a:noFill/>
                        <a:ln>
                          <a:noFill/>
                        </a:ln>
                      </pic:spPr>
                    </pic:pic>
                  </a:graphicData>
                </a:graphic>
              </wp:inline>
            </w:drawing>
          </w:r>
        </w:p>
      </w:tc>
      <w:tc>
        <w:tcPr>
          <w:tcW w:w="2097" w:type="dxa"/>
          <w:tcBorders>
            <w:top w:val="single" w:sz="4" w:space="0" w:color="95B3D7"/>
          </w:tcBorders>
          <w:vAlign w:val="center"/>
        </w:tcPr>
        <w:p w:rsidR="00E74438" w:rsidRPr="00720BD2" w:rsidRDefault="00FC4A37" w:rsidP="00E74438">
          <w:pPr>
            <w:spacing w:after="0" w:line="240" w:lineRule="auto"/>
            <w:jc w:val="center"/>
            <w:outlineLvl w:val="0"/>
            <w:rPr>
              <w:rFonts w:ascii="Tahoma" w:eastAsia="Times New Roman" w:hAnsi="Tahoma" w:cs="Tahoma"/>
              <w:b/>
              <w:sz w:val="20"/>
              <w:szCs w:val="20"/>
              <w:lang w:eastAsia="bg-BG"/>
            </w:rPr>
          </w:pPr>
          <w:r>
            <w:rPr>
              <w:rFonts w:ascii="Tahoma" w:eastAsia="Times New Roman" w:hAnsi="Tahoma" w:cs="Tahoma"/>
              <w:b/>
              <w:noProof/>
              <w:sz w:val="20"/>
              <w:szCs w:val="20"/>
              <w:lang w:eastAsia="bg-BG"/>
            </w:rPr>
            <w:drawing>
              <wp:inline distT="0" distB="0" distL="0" distR="0" wp14:anchorId="641A5738" wp14:editId="6190F128">
                <wp:extent cx="843915" cy="391795"/>
                <wp:effectExtent l="0" t="0" r="0" b="8255"/>
                <wp:docPr id="50" name="Picture 50" descr="BIA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A_logo-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391795"/>
                        </a:xfrm>
                        <a:prstGeom prst="rect">
                          <a:avLst/>
                        </a:prstGeom>
                        <a:noFill/>
                        <a:ln>
                          <a:noFill/>
                        </a:ln>
                      </pic:spPr>
                    </pic:pic>
                  </a:graphicData>
                </a:graphic>
              </wp:inline>
            </w:drawing>
          </w:r>
        </w:p>
      </w:tc>
      <w:tc>
        <w:tcPr>
          <w:tcW w:w="2977" w:type="dxa"/>
          <w:tcBorders>
            <w:top w:val="single" w:sz="4" w:space="0" w:color="95B3D7"/>
          </w:tcBorders>
          <w:vAlign w:val="center"/>
        </w:tcPr>
        <w:p w:rsidR="00E74438" w:rsidRPr="00720BD2" w:rsidRDefault="00FC4A37" w:rsidP="00E74438">
          <w:pPr>
            <w:spacing w:after="0" w:line="240" w:lineRule="auto"/>
            <w:jc w:val="center"/>
            <w:outlineLvl w:val="0"/>
            <w:rPr>
              <w:rFonts w:ascii="Tahoma" w:eastAsia="Times New Roman" w:hAnsi="Tahoma" w:cs="Tahoma"/>
              <w:b/>
              <w:sz w:val="20"/>
              <w:szCs w:val="20"/>
              <w:lang w:eastAsia="bg-BG"/>
            </w:rPr>
          </w:pPr>
          <w:r>
            <w:rPr>
              <w:rFonts w:ascii="Tahoma" w:eastAsia="Times New Roman" w:hAnsi="Tahoma" w:cs="Tahoma"/>
              <w:b/>
              <w:noProof/>
              <w:sz w:val="20"/>
              <w:szCs w:val="20"/>
              <w:lang w:eastAsia="bg-BG"/>
            </w:rPr>
            <w:drawing>
              <wp:inline distT="0" distB="0" distL="0" distR="0" wp14:anchorId="1080885D" wp14:editId="2DFC22CA">
                <wp:extent cx="1637665" cy="391795"/>
                <wp:effectExtent l="0" t="0" r="635" b="8255"/>
                <wp:docPr id="51" name="Picture 51" descr="BT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P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7665" cy="391795"/>
                        </a:xfrm>
                        <a:prstGeom prst="rect">
                          <a:avLst/>
                        </a:prstGeom>
                        <a:noFill/>
                        <a:ln>
                          <a:noFill/>
                        </a:ln>
                      </pic:spPr>
                    </pic:pic>
                  </a:graphicData>
                </a:graphic>
              </wp:inline>
            </w:drawing>
          </w:r>
        </w:p>
      </w:tc>
      <w:tc>
        <w:tcPr>
          <w:tcW w:w="2028" w:type="dxa"/>
          <w:tcBorders>
            <w:top w:val="single" w:sz="4" w:space="0" w:color="95B3D7"/>
          </w:tcBorders>
          <w:vAlign w:val="center"/>
        </w:tcPr>
        <w:p w:rsidR="00E74438" w:rsidRDefault="00FC4A37" w:rsidP="00E74438">
          <w:pPr>
            <w:spacing w:after="0" w:line="240" w:lineRule="auto"/>
            <w:jc w:val="center"/>
            <w:outlineLvl w:val="0"/>
          </w:pPr>
          <w:r>
            <w:rPr>
              <w:noProof/>
              <w:lang w:eastAsia="bg-BG"/>
            </w:rPr>
            <w:drawing>
              <wp:inline distT="0" distB="0" distL="0" distR="0" wp14:anchorId="3CCF7267" wp14:editId="7D64BD25">
                <wp:extent cx="924560" cy="391795"/>
                <wp:effectExtent l="0" t="0" r="8890" b="8255"/>
                <wp:docPr id="52" name="Picture 52" descr="K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560" cy="391795"/>
                        </a:xfrm>
                        <a:prstGeom prst="rect">
                          <a:avLst/>
                        </a:prstGeom>
                        <a:noFill/>
                        <a:ln>
                          <a:noFill/>
                        </a:ln>
                      </pic:spPr>
                    </pic:pic>
                  </a:graphicData>
                </a:graphic>
              </wp:inline>
            </w:drawing>
          </w:r>
        </w:p>
      </w:tc>
    </w:tr>
  </w:tbl>
  <w:p w:rsidR="00252B07" w:rsidRDefault="0025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CD3"/>
    <w:multiLevelType w:val="hybridMultilevel"/>
    <w:tmpl w:val="A4864D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4C00664D"/>
    <w:multiLevelType w:val="hybridMultilevel"/>
    <w:tmpl w:val="3676B4E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ntina Zartova">
    <w15:presenceInfo w15:providerId="AD" w15:userId="S-1-5-21-1130348212-882792949-2501769751-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9"/>
    <w:rsid w:val="00002D76"/>
    <w:rsid w:val="00021490"/>
    <w:rsid w:val="00034609"/>
    <w:rsid w:val="000356FF"/>
    <w:rsid w:val="00065E3A"/>
    <w:rsid w:val="00070B08"/>
    <w:rsid w:val="000A05E2"/>
    <w:rsid w:val="000A6FDF"/>
    <w:rsid w:val="00122997"/>
    <w:rsid w:val="00184453"/>
    <w:rsid w:val="001E2251"/>
    <w:rsid w:val="00237792"/>
    <w:rsid w:val="00252B07"/>
    <w:rsid w:val="00256643"/>
    <w:rsid w:val="002A0E36"/>
    <w:rsid w:val="002D5827"/>
    <w:rsid w:val="002E667A"/>
    <w:rsid w:val="003216A0"/>
    <w:rsid w:val="00323846"/>
    <w:rsid w:val="00332537"/>
    <w:rsid w:val="00357FBB"/>
    <w:rsid w:val="003767CD"/>
    <w:rsid w:val="003A271B"/>
    <w:rsid w:val="003E58B0"/>
    <w:rsid w:val="00490638"/>
    <w:rsid w:val="005423C0"/>
    <w:rsid w:val="00584C5F"/>
    <w:rsid w:val="00585518"/>
    <w:rsid w:val="005B14BA"/>
    <w:rsid w:val="005D2454"/>
    <w:rsid w:val="005D4567"/>
    <w:rsid w:val="00633733"/>
    <w:rsid w:val="00683567"/>
    <w:rsid w:val="00690762"/>
    <w:rsid w:val="006B41B1"/>
    <w:rsid w:val="006C2172"/>
    <w:rsid w:val="006F7A91"/>
    <w:rsid w:val="007152A8"/>
    <w:rsid w:val="00754E9D"/>
    <w:rsid w:val="00776C72"/>
    <w:rsid w:val="007775EA"/>
    <w:rsid w:val="007C6A70"/>
    <w:rsid w:val="007E300E"/>
    <w:rsid w:val="00823EF1"/>
    <w:rsid w:val="008459A2"/>
    <w:rsid w:val="0085647C"/>
    <w:rsid w:val="00862EC0"/>
    <w:rsid w:val="00877A72"/>
    <w:rsid w:val="008B3F4E"/>
    <w:rsid w:val="008F267D"/>
    <w:rsid w:val="00936E67"/>
    <w:rsid w:val="00964913"/>
    <w:rsid w:val="009B2C0E"/>
    <w:rsid w:val="009F0864"/>
    <w:rsid w:val="00A36833"/>
    <w:rsid w:val="00AA5FAF"/>
    <w:rsid w:val="00AC1ADB"/>
    <w:rsid w:val="00AD117E"/>
    <w:rsid w:val="00AD4DE1"/>
    <w:rsid w:val="00B32005"/>
    <w:rsid w:val="00B42B17"/>
    <w:rsid w:val="00BC5942"/>
    <w:rsid w:val="00BE2357"/>
    <w:rsid w:val="00BF5EFC"/>
    <w:rsid w:val="00C21186"/>
    <w:rsid w:val="00C42DE9"/>
    <w:rsid w:val="00C967F3"/>
    <w:rsid w:val="00CA4A52"/>
    <w:rsid w:val="00D003EC"/>
    <w:rsid w:val="00D54334"/>
    <w:rsid w:val="00D77BE7"/>
    <w:rsid w:val="00DB5D98"/>
    <w:rsid w:val="00DD13BC"/>
    <w:rsid w:val="00DF5220"/>
    <w:rsid w:val="00E000FA"/>
    <w:rsid w:val="00E25B7C"/>
    <w:rsid w:val="00E53514"/>
    <w:rsid w:val="00E53A82"/>
    <w:rsid w:val="00E60AFC"/>
    <w:rsid w:val="00E74438"/>
    <w:rsid w:val="00EF1FD2"/>
    <w:rsid w:val="00F02A4D"/>
    <w:rsid w:val="00F52CA1"/>
    <w:rsid w:val="00F53FDB"/>
    <w:rsid w:val="00F942E4"/>
    <w:rsid w:val="00F9740C"/>
    <w:rsid w:val="00FA28D5"/>
    <w:rsid w:val="00FA6399"/>
    <w:rsid w:val="00FC4A37"/>
    <w:rsid w:val="00FD7E24"/>
    <w:rsid w:val="00FE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C"/>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A91"/>
  </w:style>
  <w:style w:type="paragraph" w:styleId="Footer">
    <w:name w:val="footer"/>
    <w:basedOn w:val="Normal"/>
    <w:link w:val="FooterChar"/>
    <w:uiPriority w:val="99"/>
    <w:unhideWhenUsed/>
    <w:rsid w:val="006F7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A91"/>
  </w:style>
  <w:style w:type="paragraph" w:styleId="BodyText2">
    <w:name w:val="Body Text 2"/>
    <w:basedOn w:val="Normal"/>
    <w:link w:val="BodyText2Char"/>
    <w:semiHidden/>
    <w:rsid w:val="006F7A91"/>
    <w:pPr>
      <w:spacing w:after="0" w:line="240" w:lineRule="auto"/>
    </w:pPr>
    <w:rPr>
      <w:rFonts w:ascii="Times New Roman" w:eastAsia="Times New Roman" w:hAnsi="Times New Roman"/>
      <w:sz w:val="28"/>
      <w:szCs w:val="20"/>
      <w:lang w:eastAsia="bg-BG"/>
    </w:rPr>
  </w:style>
  <w:style w:type="character" w:customStyle="1" w:styleId="BodyText2Char">
    <w:name w:val="Body Text 2 Char"/>
    <w:link w:val="BodyText2"/>
    <w:semiHidden/>
    <w:rsid w:val="006F7A91"/>
    <w:rPr>
      <w:rFonts w:ascii="Times New Roman" w:eastAsia="Times New Roman" w:hAnsi="Times New Roman" w:cs="Times New Roman"/>
      <w:sz w:val="28"/>
      <w:szCs w:val="20"/>
      <w:lang w:eastAsia="bg-BG"/>
    </w:rPr>
  </w:style>
  <w:style w:type="paragraph" w:styleId="BalloonText">
    <w:name w:val="Balloon Text"/>
    <w:basedOn w:val="Normal"/>
    <w:link w:val="BalloonTextChar"/>
    <w:uiPriority w:val="99"/>
    <w:semiHidden/>
    <w:unhideWhenUsed/>
    <w:rsid w:val="000A05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5E2"/>
    <w:rPr>
      <w:rFonts w:ascii="Tahoma" w:hAnsi="Tahoma" w:cs="Tahoma"/>
      <w:sz w:val="16"/>
      <w:szCs w:val="16"/>
    </w:rPr>
  </w:style>
  <w:style w:type="character" w:styleId="Hyperlink">
    <w:name w:val="Hyperlink"/>
    <w:uiPriority w:val="99"/>
    <w:unhideWhenUsed/>
    <w:rsid w:val="00BF5EFC"/>
    <w:rPr>
      <w:color w:val="0000FF"/>
      <w:u w:val="single"/>
    </w:rPr>
  </w:style>
  <w:style w:type="character" w:styleId="CommentReference">
    <w:name w:val="annotation reference"/>
    <w:basedOn w:val="DefaultParagraphFont"/>
    <w:uiPriority w:val="99"/>
    <w:semiHidden/>
    <w:unhideWhenUsed/>
    <w:rsid w:val="00122997"/>
    <w:rPr>
      <w:sz w:val="16"/>
      <w:szCs w:val="16"/>
    </w:rPr>
  </w:style>
  <w:style w:type="paragraph" w:styleId="CommentText">
    <w:name w:val="annotation text"/>
    <w:basedOn w:val="Normal"/>
    <w:link w:val="CommentTextChar"/>
    <w:uiPriority w:val="99"/>
    <w:semiHidden/>
    <w:unhideWhenUsed/>
    <w:rsid w:val="00122997"/>
    <w:pPr>
      <w:spacing w:line="240" w:lineRule="auto"/>
    </w:pPr>
    <w:rPr>
      <w:sz w:val="20"/>
      <w:szCs w:val="20"/>
    </w:rPr>
  </w:style>
  <w:style w:type="character" w:customStyle="1" w:styleId="CommentTextChar">
    <w:name w:val="Comment Text Char"/>
    <w:basedOn w:val="DefaultParagraphFont"/>
    <w:link w:val="CommentText"/>
    <w:uiPriority w:val="99"/>
    <w:semiHidden/>
    <w:rsid w:val="00122997"/>
    <w:rPr>
      <w:lang w:val="bg-BG"/>
    </w:rPr>
  </w:style>
  <w:style w:type="paragraph" w:styleId="CommentSubject">
    <w:name w:val="annotation subject"/>
    <w:basedOn w:val="CommentText"/>
    <w:next w:val="CommentText"/>
    <w:link w:val="CommentSubjectChar"/>
    <w:uiPriority w:val="99"/>
    <w:semiHidden/>
    <w:unhideWhenUsed/>
    <w:rsid w:val="00122997"/>
    <w:rPr>
      <w:b/>
      <w:bCs/>
    </w:rPr>
  </w:style>
  <w:style w:type="character" w:customStyle="1" w:styleId="CommentSubjectChar">
    <w:name w:val="Comment Subject Char"/>
    <w:basedOn w:val="CommentTextChar"/>
    <w:link w:val="CommentSubject"/>
    <w:uiPriority w:val="99"/>
    <w:semiHidden/>
    <w:rsid w:val="00122997"/>
    <w:rPr>
      <w:b/>
      <w:bCs/>
      <w:lang w:val="bg-BG"/>
    </w:rPr>
  </w:style>
  <w:style w:type="paragraph" w:styleId="ListParagraph">
    <w:name w:val="List Paragraph"/>
    <w:basedOn w:val="Normal"/>
    <w:uiPriority w:val="34"/>
    <w:qFormat/>
    <w:rsid w:val="00357FBB"/>
    <w:pPr>
      <w:ind w:left="720"/>
      <w:contextualSpacing/>
    </w:pPr>
  </w:style>
  <w:style w:type="paragraph" w:styleId="NormalWeb">
    <w:name w:val="Normal (Web)"/>
    <w:basedOn w:val="Normal"/>
    <w:uiPriority w:val="99"/>
    <w:semiHidden/>
    <w:unhideWhenUsed/>
    <w:rsid w:val="002A0E36"/>
    <w:pPr>
      <w:spacing w:after="0" w:line="240" w:lineRule="auto"/>
      <w:ind w:firstLine="990"/>
      <w:jc w:val="both"/>
    </w:pPr>
    <w:rPr>
      <w:rFonts w:ascii="Times New Roman" w:eastAsia="Times New Roman" w:hAnsi="Times New Roman"/>
      <w:color w:val="000000"/>
      <w:sz w:val="24"/>
      <w:szCs w:val="24"/>
      <w:lang w:val="en-US"/>
    </w:rPr>
  </w:style>
  <w:style w:type="paragraph" w:customStyle="1" w:styleId="m">
    <w:name w:val="m"/>
    <w:basedOn w:val="Normal"/>
    <w:rsid w:val="002A0E36"/>
    <w:pPr>
      <w:spacing w:after="0" w:line="240" w:lineRule="auto"/>
      <w:ind w:firstLine="990"/>
      <w:jc w:val="both"/>
    </w:pPr>
    <w:rPr>
      <w:rFonts w:ascii="Times New Roman" w:eastAsia="Times New Roman" w:hAnsi="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C"/>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A91"/>
  </w:style>
  <w:style w:type="paragraph" w:styleId="Footer">
    <w:name w:val="footer"/>
    <w:basedOn w:val="Normal"/>
    <w:link w:val="FooterChar"/>
    <w:uiPriority w:val="99"/>
    <w:unhideWhenUsed/>
    <w:rsid w:val="006F7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A91"/>
  </w:style>
  <w:style w:type="paragraph" w:styleId="BodyText2">
    <w:name w:val="Body Text 2"/>
    <w:basedOn w:val="Normal"/>
    <w:link w:val="BodyText2Char"/>
    <w:semiHidden/>
    <w:rsid w:val="006F7A91"/>
    <w:pPr>
      <w:spacing w:after="0" w:line="240" w:lineRule="auto"/>
    </w:pPr>
    <w:rPr>
      <w:rFonts w:ascii="Times New Roman" w:eastAsia="Times New Roman" w:hAnsi="Times New Roman"/>
      <w:sz w:val="28"/>
      <w:szCs w:val="20"/>
      <w:lang w:eastAsia="bg-BG"/>
    </w:rPr>
  </w:style>
  <w:style w:type="character" w:customStyle="1" w:styleId="BodyText2Char">
    <w:name w:val="Body Text 2 Char"/>
    <w:link w:val="BodyText2"/>
    <w:semiHidden/>
    <w:rsid w:val="006F7A91"/>
    <w:rPr>
      <w:rFonts w:ascii="Times New Roman" w:eastAsia="Times New Roman" w:hAnsi="Times New Roman" w:cs="Times New Roman"/>
      <w:sz w:val="28"/>
      <w:szCs w:val="20"/>
      <w:lang w:eastAsia="bg-BG"/>
    </w:rPr>
  </w:style>
  <w:style w:type="paragraph" w:styleId="BalloonText">
    <w:name w:val="Balloon Text"/>
    <w:basedOn w:val="Normal"/>
    <w:link w:val="BalloonTextChar"/>
    <w:uiPriority w:val="99"/>
    <w:semiHidden/>
    <w:unhideWhenUsed/>
    <w:rsid w:val="000A05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5E2"/>
    <w:rPr>
      <w:rFonts w:ascii="Tahoma" w:hAnsi="Tahoma" w:cs="Tahoma"/>
      <w:sz w:val="16"/>
      <w:szCs w:val="16"/>
    </w:rPr>
  </w:style>
  <w:style w:type="character" w:styleId="Hyperlink">
    <w:name w:val="Hyperlink"/>
    <w:uiPriority w:val="99"/>
    <w:unhideWhenUsed/>
    <w:rsid w:val="00BF5EFC"/>
    <w:rPr>
      <w:color w:val="0000FF"/>
      <w:u w:val="single"/>
    </w:rPr>
  </w:style>
  <w:style w:type="character" w:styleId="CommentReference">
    <w:name w:val="annotation reference"/>
    <w:basedOn w:val="DefaultParagraphFont"/>
    <w:uiPriority w:val="99"/>
    <w:semiHidden/>
    <w:unhideWhenUsed/>
    <w:rsid w:val="00122997"/>
    <w:rPr>
      <w:sz w:val="16"/>
      <w:szCs w:val="16"/>
    </w:rPr>
  </w:style>
  <w:style w:type="paragraph" w:styleId="CommentText">
    <w:name w:val="annotation text"/>
    <w:basedOn w:val="Normal"/>
    <w:link w:val="CommentTextChar"/>
    <w:uiPriority w:val="99"/>
    <w:semiHidden/>
    <w:unhideWhenUsed/>
    <w:rsid w:val="00122997"/>
    <w:pPr>
      <w:spacing w:line="240" w:lineRule="auto"/>
    </w:pPr>
    <w:rPr>
      <w:sz w:val="20"/>
      <w:szCs w:val="20"/>
    </w:rPr>
  </w:style>
  <w:style w:type="character" w:customStyle="1" w:styleId="CommentTextChar">
    <w:name w:val="Comment Text Char"/>
    <w:basedOn w:val="DefaultParagraphFont"/>
    <w:link w:val="CommentText"/>
    <w:uiPriority w:val="99"/>
    <w:semiHidden/>
    <w:rsid w:val="00122997"/>
    <w:rPr>
      <w:lang w:val="bg-BG"/>
    </w:rPr>
  </w:style>
  <w:style w:type="paragraph" w:styleId="CommentSubject">
    <w:name w:val="annotation subject"/>
    <w:basedOn w:val="CommentText"/>
    <w:next w:val="CommentText"/>
    <w:link w:val="CommentSubjectChar"/>
    <w:uiPriority w:val="99"/>
    <w:semiHidden/>
    <w:unhideWhenUsed/>
    <w:rsid w:val="00122997"/>
    <w:rPr>
      <w:b/>
      <w:bCs/>
    </w:rPr>
  </w:style>
  <w:style w:type="character" w:customStyle="1" w:styleId="CommentSubjectChar">
    <w:name w:val="Comment Subject Char"/>
    <w:basedOn w:val="CommentTextChar"/>
    <w:link w:val="CommentSubject"/>
    <w:uiPriority w:val="99"/>
    <w:semiHidden/>
    <w:rsid w:val="00122997"/>
    <w:rPr>
      <w:b/>
      <w:bCs/>
      <w:lang w:val="bg-BG"/>
    </w:rPr>
  </w:style>
  <w:style w:type="paragraph" w:styleId="ListParagraph">
    <w:name w:val="List Paragraph"/>
    <w:basedOn w:val="Normal"/>
    <w:uiPriority w:val="34"/>
    <w:qFormat/>
    <w:rsid w:val="00357FBB"/>
    <w:pPr>
      <w:ind w:left="720"/>
      <w:contextualSpacing/>
    </w:pPr>
  </w:style>
  <w:style w:type="paragraph" w:styleId="NormalWeb">
    <w:name w:val="Normal (Web)"/>
    <w:basedOn w:val="Normal"/>
    <w:uiPriority w:val="99"/>
    <w:semiHidden/>
    <w:unhideWhenUsed/>
    <w:rsid w:val="002A0E36"/>
    <w:pPr>
      <w:spacing w:after="0" w:line="240" w:lineRule="auto"/>
      <w:ind w:firstLine="990"/>
      <w:jc w:val="both"/>
    </w:pPr>
    <w:rPr>
      <w:rFonts w:ascii="Times New Roman" w:eastAsia="Times New Roman" w:hAnsi="Times New Roman"/>
      <w:color w:val="000000"/>
      <w:sz w:val="24"/>
      <w:szCs w:val="24"/>
      <w:lang w:val="en-US"/>
    </w:rPr>
  </w:style>
  <w:style w:type="paragraph" w:customStyle="1" w:styleId="m">
    <w:name w:val="m"/>
    <w:basedOn w:val="Normal"/>
    <w:rsid w:val="002A0E36"/>
    <w:pPr>
      <w:spacing w:after="0" w:line="240" w:lineRule="auto"/>
      <w:ind w:firstLine="990"/>
      <w:jc w:val="both"/>
    </w:pPr>
    <w:rPr>
      <w:rFonts w:ascii="Times New Roman" w:eastAsia="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592">
      <w:bodyDiv w:val="1"/>
      <w:marLeft w:val="0"/>
      <w:marRight w:val="0"/>
      <w:marTop w:val="0"/>
      <w:marBottom w:val="0"/>
      <w:divBdr>
        <w:top w:val="none" w:sz="0" w:space="0" w:color="auto"/>
        <w:left w:val="none" w:sz="0" w:space="0" w:color="auto"/>
        <w:bottom w:val="none" w:sz="0" w:space="0" w:color="auto"/>
        <w:right w:val="none" w:sz="0" w:space="0" w:color="auto"/>
      </w:divBdr>
    </w:div>
    <w:div w:id="398483103">
      <w:bodyDiv w:val="1"/>
      <w:marLeft w:val="0"/>
      <w:marRight w:val="0"/>
      <w:marTop w:val="0"/>
      <w:marBottom w:val="0"/>
      <w:divBdr>
        <w:top w:val="none" w:sz="0" w:space="0" w:color="auto"/>
        <w:left w:val="none" w:sz="0" w:space="0" w:color="auto"/>
        <w:bottom w:val="none" w:sz="0" w:space="0" w:color="auto"/>
        <w:right w:val="none" w:sz="0" w:space="0" w:color="auto"/>
      </w:divBdr>
    </w:div>
    <w:div w:id="535041508">
      <w:bodyDiv w:val="1"/>
      <w:marLeft w:val="0"/>
      <w:marRight w:val="0"/>
      <w:marTop w:val="0"/>
      <w:marBottom w:val="0"/>
      <w:divBdr>
        <w:top w:val="none" w:sz="0" w:space="0" w:color="auto"/>
        <w:left w:val="none" w:sz="0" w:space="0" w:color="auto"/>
        <w:bottom w:val="none" w:sz="0" w:space="0" w:color="auto"/>
        <w:right w:val="none" w:sz="0" w:space="0" w:color="auto"/>
      </w:divBdr>
      <w:divsChild>
        <w:div w:id="1856382859">
          <w:marLeft w:val="0"/>
          <w:marRight w:val="0"/>
          <w:marTop w:val="150"/>
          <w:marBottom w:val="0"/>
          <w:divBdr>
            <w:top w:val="single" w:sz="6" w:space="0" w:color="FFFFFF"/>
            <w:left w:val="single" w:sz="6" w:space="0" w:color="FFFFFF"/>
            <w:bottom w:val="single" w:sz="6" w:space="0" w:color="FFFFFF"/>
            <w:right w:val="single" w:sz="6" w:space="0" w:color="FFFFFF"/>
          </w:divBdr>
        </w:div>
        <w:div w:id="1744403972">
          <w:marLeft w:val="0"/>
          <w:marRight w:val="0"/>
          <w:marTop w:val="150"/>
          <w:marBottom w:val="0"/>
          <w:divBdr>
            <w:top w:val="single" w:sz="6" w:space="0" w:color="FFFFFF"/>
            <w:left w:val="single" w:sz="6" w:space="0" w:color="FFFFFF"/>
            <w:bottom w:val="single" w:sz="6" w:space="0" w:color="FFFFFF"/>
            <w:right w:val="single" w:sz="6" w:space="0" w:color="FFFFFF"/>
          </w:divBdr>
          <w:divsChild>
            <w:div w:id="331301996">
              <w:marLeft w:val="0"/>
              <w:marRight w:val="60"/>
              <w:marTop w:val="45"/>
              <w:marBottom w:val="0"/>
              <w:divBdr>
                <w:top w:val="none" w:sz="0" w:space="0" w:color="auto"/>
                <w:left w:val="none" w:sz="0" w:space="0" w:color="auto"/>
                <w:bottom w:val="none" w:sz="0" w:space="0" w:color="auto"/>
                <w:right w:val="none" w:sz="0" w:space="0" w:color="auto"/>
              </w:divBdr>
            </w:div>
            <w:div w:id="290868362">
              <w:marLeft w:val="0"/>
              <w:marRight w:val="60"/>
              <w:marTop w:val="45"/>
              <w:marBottom w:val="0"/>
              <w:divBdr>
                <w:top w:val="none" w:sz="0" w:space="0" w:color="auto"/>
                <w:left w:val="none" w:sz="0" w:space="0" w:color="auto"/>
                <w:bottom w:val="none" w:sz="0" w:space="0" w:color="auto"/>
                <w:right w:val="none" w:sz="0" w:space="0" w:color="auto"/>
              </w:divBdr>
            </w:div>
            <w:div w:id="1496723740">
              <w:marLeft w:val="0"/>
              <w:marRight w:val="60"/>
              <w:marTop w:val="45"/>
              <w:marBottom w:val="0"/>
              <w:divBdr>
                <w:top w:val="none" w:sz="0" w:space="0" w:color="auto"/>
                <w:left w:val="none" w:sz="0" w:space="0" w:color="auto"/>
                <w:bottom w:val="none" w:sz="0" w:space="0" w:color="auto"/>
                <w:right w:val="none" w:sz="0" w:space="0" w:color="auto"/>
              </w:divBdr>
            </w:div>
            <w:div w:id="39107575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BIA%20BLANKI\Blanka_AO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C90B-7ABA-454D-800A-A07C02FB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Blanka_AOBR</Template>
  <TotalTime>1</TotalTime>
  <Pages>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Божидар Данев</dc:creator>
  <cp:lastModifiedBy>User</cp:lastModifiedBy>
  <cp:revision>4</cp:revision>
  <cp:lastPrinted>2015-03-12T10:47:00Z</cp:lastPrinted>
  <dcterms:created xsi:type="dcterms:W3CDTF">2017-05-16T13:08:00Z</dcterms:created>
  <dcterms:modified xsi:type="dcterms:W3CDTF">2017-05-16T13:10:00Z</dcterms:modified>
</cp:coreProperties>
</file>