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CB" w:rsidRPr="008B01C2" w:rsidRDefault="00C26ACB" w:rsidP="00C26ACB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B99" w:rsidRDefault="00C87B99" w:rsidP="00C26ACB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B99" w:rsidRDefault="00C87B99" w:rsidP="00C26ACB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B99" w:rsidRDefault="00C87B99" w:rsidP="00C26ACB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094" w:rsidRDefault="00B37094" w:rsidP="00C73D56">
      <w:pPr>
        <w:spacing w:after="0" w:line="256" w:lineRule="auto"/>
        <w:ind w:left="4956" w:firstLine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ED5" w:rsidRDefault="00B13ED5" w:rsidP="00C73D56">
      <w:pPr>
        <w:spacing w:after="0" w:line="256" w:lineRule="auto"/>
        <w:ind w:left="4956" w:firstLine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</w:p>
    <w:p w:rsidR="00606466" w:rsidRPr="009950DC" w:rsidRDefault="00681F78" w:rsidP="00B13ED5">
      <w:pPr>
        <w:spacing w:after="0" w:line="256" w:lineRule="auto"/>
        <w:ind w:left="4956" w:firstLine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Г-Н </w:t>
      </w:r>
      <w:r w:rsidR="009950DC">
        <w:rPr>
          <w:rFonts w:ascii="Times New Roman" w:eastAsia="Times New Roman" w:hAnsi="Times New Roman" w:cs="Times New Roman"/>
          <w:b/>
          <w:sz w:val="28"/>
          <w:szCs w:val="28"/>
        </w:rPr>
        <w:t>ВАЛЕРИ СИМЕОНОВ</w:t>
      </w:r>
    </w:p>
    <w:p w:rsidR="00606466" w:rsidRPr="00237D1B" w:rsidRDefault="00681F78" w:rsidP="00681F78">
      <w:pPr>
        <w:spacing w:after="0" w:line="256" w:lineRule="auto"/>
        <w:ind w:left="4962" w:hanging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 НА </w:t>
      </w:r>
      <w:r w:rsidR="009950DC">
        <w:rPr>
          <w:rFonts w:ascii="Times New Roman" w:eastAsia="Times New Roman" w:hAnsi="Times New Roman" w:cs="Times New Roman"/>
          <w:b/>
          <w:sz w:val="28"/>
          <w:szCs w:val="28"/>
        </w:rPr>
        <w:t>НАЦИОНАЛНИЯ СЪВЕТ ЗА ТРИСТРАННО СЪТРУДНИЧЕСТВО</w:t>
      </w:r>
    </w:p>
    <w:p w:rsidR="00606466" w:rsidRPr="00237D1B" w:rsidRDefault="00606466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466" w:rsidRPr="00237D1B" w:rsidRDefault="00606466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D1B" w:rsidRPr="00237D1B" w:rsidRDefault="00681F78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494288864"/>
      <w:r>
        <w:rPr>
          <w:rFonts w:ascii="Times New Roman" w:eastAsia="Times New Roman" w:hAnsi="Times New Roman" w:cs="Times New Roman"/>
          <w:b/>
          <w:sz w:val="28"/>
          <w:szCs w:val="28"/>
        </w:rPr>
        <w:t>СТАНОВИЩЕ</w:t>
      </w:r>
    </w:p>
    <w:p w:rsidR="008E2171" w:rsidRPr="00237D1B" w:rsidRDefault="00237D1B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D1B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bookmarkStart w:id="1" w:name="_Hlk483917769"/>
      <w:r w:rsidRPr="00237D1B">
        <w:rPr>
          <w:rFonts w:ascii="Times New Roman" w:eastAsia="Times New Roman" w:hAnsi="Times New Roman" w:cs="Times New Roman"/>
          <w:b/>
          <w:sz w:val="28"/>
          <w:szCs w:val="28"/>
        </w:rPr>
        <w:t>БЪЛГАРСКА ТЪРГОВСКО-ПРОМИШЛЕНА ПАЛАТА</w:t>
      </w:r>
      <w:bookmarkEnd w:id="1"/>
    </w:p>
    <w:p w:rsidR="008A75E8" w:rsidRPr="00237D1B" w:rsidRDefault="008A75E8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D1B" w:rsidRPr="00237D1B" w:rsidRDefault="00237D1B" w:rsidP="008E217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FC3" w:rsidRPr="0048687E" w:rsidRDefault="00237D1B" w:rsidP="00237D1B">
      <w:pPr>
        <w:tabs>
          <w:tab w:val="left" w:pos="1260"/>
          <w:tab w:val="left" w:pos="1350"/>
          <w:tab w:val="left" w:pos="2430"/>
        </w:tabs>
        <w:spacing w:after="0" w:line="256" w:lineRule="auto"/>
        <w:ind w:left="1890" w:hanging="16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2" w:name="_Hlk479342185"/>
      <w:r w:rsidRPr="00237D1B">
        <w:rPr>
          <w:rFonts w:ascii="Times New Roman" w:eastAsia="Times New Roman" w:hAnsi="Times New Roman" w:cs="Times New Roman"/>
          <w:sz w:val="28"/>
          <w:szCs w:val="28"/>
          <w:u w:val="single"/>
        </w:rPr>
        <w:t>ОТНОСНО:</w:t>
      </w:r>
      <w:r w:rsidRPr="00237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3" w:name="_Hlk482883945"/>
      <w:bookmarkEnd w:id="2"/>
      <w:r w:rsidR="00681F78" w:rsidRPr="0048687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ЗАКОНОПРОЕКТ ЗА ИЗМЕНЕНИЕ И ДОПЪЛНЕНИЕ НА </w:t>
      </w:r>
      <w:r w:rsidR="009950D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КОДЕКСА НА ТРУДА </w:t>
      </w:r>
      <w:r w:rsidR="00681F78" w:rsidRPr="0048687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="00EB75B7">
        <w:rPr>
          <w:rFonts w:ascii="Times New Roman" w:eastAsia="Times New Roman" w:hAnsi="Times New Roman" w:cs="Times New Roman"/>
          <w:bCs/>
          <w:sz w:val="28"/>
          <w:szCs w:val="28"/>
        </w:rPr>
        <w:t>сигн</w:t>
      </w:r>
      <w:proofErr w:type="spellEnd"/>
      <w:r w:rsidR="00EB75B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bookmarkStart w:id="4" w:name="_Hlk494290013"/>
      <w:r w:rsidR="00681F78" w:rsidRPr="0048687E">
        <w:rPr>
          <w:rFonts w:ascii="Times New Roman" w:eastAsia="Times New Roman" w:hAnsi="Times New Roman" w:cs="Times New Roman"/>
          <w:bCs/>
          <w:sz w:val="28"/>
          <w:szCs w:val="28"/>
        </w:rPr>
        <w:t>754-01-4</w:t>
      </w:r>
      <w:r w:rsidR="009950DC">
        <w:rPr>
          <w:rFonts w:ascii="Times New Roman" w:eastAsia="Times New Roman" w:hAnsi="Times New Roman" w:cs="Times New Roman"/>
          <w:bCs/>
          <w:sz w:val="28"/>
          <w:szCs w:val="28"/>
        </w:rPr>
        <w:t>0/06.07</w:t>
      </w:r>
      <w:r w:rsidR="00265E50" w:rsidRPr="0048687E">
        <w:rPr>
          <w:rFonts w:ascii="Times New Roman" w:eastAsia="Times New Roman" w:hAnsi="Times New Roman" w:cs="Times New Roman"/>
          <w:bCs/>
          <w:sz w:val="28"/>
          <w:szCs w:val="28"/>
        </w:rPr>
        <w:t>.2017г.</w:t>
      </w:r>
      <w:bookmarkEnd w:id="4"/>
      <w:r w:rsidR="00EB75B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822E4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32E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75B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Предложение за изменение на приетия на първо четене Законопроект </w:t>
      </w:r>
      <w:r w:rsidR="00A32E79">
        <w:rPr>
          <w:rFonts w:ascii="Times New Roman" w:eastAsia="Times New Roman" w:hAnsi="Times New Roman" w:cs="Times New Roman"/>
          <w:bCs/>
          <w:sz w:val="28"/>
          <w:szCs w:val="28"/>
        </w:rPr>
        <w:t>754-01-</w:t>
      </w:r>
      <w:r w:rsidR="00EB75B7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="0027375C">
        <w:rPr>
          <w:rFonts w:ascii="Times New Roman" w:eastAsia="Times New Roman" w:hAnsi="Times New Roman" w:cs="Times New Roman"/>
          <w:bCs/>
          <w:sz w:val="28"/>
          <w:szCs w:val="28"/>
        </w:rPr>
        <w:t>/06.07.2017г.</w:t>
      </w:r>
      <w:r w:rsidR="00EB75B7">
        <w:rPr>
          <w:rFonts w:ascii="Times New Roman" w:eastAsia="Times New Roman" w:hAnsi="Times New Roman" w:cs="Times New Roman"/>
          <w:bCs/>
          <w:sz w:val="28"/>
          <w:szCs w:val="28"/>
        </w:rPr>
        <w:t xml:space="preserve"> с №</w:t>
      </w:r>
      <w:r w:rsidR="00EB1A17">
        <w:rPr>
          <w:rFonts w:ascii="Times New Roman" w:eastAsia="Times New Roman" w:hAnsi="Times New Roman" w:cs="Times New Roman"/>
          <w:bCs/>
          <w:sz w:val="28"/>
          <w:szCs w:val="28"/>
        </w:rPr>
        <w:t xml:space="preserve"> 754-04</w:t>
      </w:r>
      <w:r w:rsidR="007174DA">
        <w:rPr>
          <w:rFonts w:ascii="Times New Roman" w:eastAsia="Times New Roman" w:hAnsi="Times New Roman" w:cs="Times New Roman"/>
          <w:bCs/>
          <w:sz w:val="28"/>
          <w:szCs w:val="28"/>
        </w:rPr>
        <w:t>-72/19.09.2017г.</w:t>
      </w:r>
      <w:bookmarkEnd w:id="0"/>
      <w:bookmarkEnd w:id="3"/>
      <w:r w:rsidR="00EB75B7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Предложение за допълнение на законопроект № </w:t>
      </w:r>
      <w:r w:rsidR="00EB75B7" w:rsidRPr="00EB75B7">
        <w:rPr>
          <w:rFonts w:ascii="Times New Roman" w:eastAsia="Times New Roman" w:hAnsi="Times New Roman" w:cs="Times New Roman"/>
          <w:bCs/>
          <w:sz w:val="28"/>
          <w:szCs w:val="28"/>
        </w:rPr>
        <w:t>754-01-40/06.07.2017г.</w:t>
      </w:r>
      <w:r w:rsidR="00EB75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г-жа С. Ангелова внесено за разглеждане в заседание на НСТС на 28.09.2017г.</w:t>
      </w:r>
    </w:p>
    <w:p w:rsidR="008E2171" w:rsidRPr="00237D1B" w:rsidRDefault="008E2171" w:rsidP="00AB0FC3">
      <w:pPr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E2171" w:rsidRPr="00237D1B" w:rsidRDefault="00CC784D" w:rsidP="00C73D5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5" w:name="_Hlk479338522"/>
      <w:r>
        <w:rPr>
          <w:rFonts w:ascii="Times New Roman" w:eastAsia="Calibri" w:hAnsi="Times New Roman" w:cs="Times New Roman"/>
          <w:sz w:val="28"/>
          <w:szCs w:val="28"/>
        </w:rPr>
        <w:t>УВАЖАЕМИ</w:t>
      </w:r>
      <w:r w:rsidR="00265E50">
        <w:rPr>
          <w:rFonts w:ascii="Times New Roman" w:eastAsia="Calibri" w:hAnsi="Times New Roman" w:cs="Times New Roman"/>
          <w:sz w:val="28"/>
          <w:szCs w:val="28"/>
        </w:rPr>
        <w:t xml:space="preserve"> Г-Н</w:t>
      </w:r>
      <w:r w:rsidR="00C73D56" w:rsidRPr="00237D1B">
        <w:rPr>
          <w:rFonts w:ascii="Times New Roman" w:eastAsia="Calibri" w:hAnsi="Times New Roman" w:cs="Times New Roman"/>
          <w:sz w:val="28"/>
          <w:szCs w:val="28"/>
        </w:rPr>
        <w:t xml:space="preserve"> ПРЕДСЕДАТЕЛ,</w:t>
      </w:r>
      <w:bookmarkEnd w:id="5"/>
    </w:p>
    <w:p w:rsidR="008E2171" w:rsidRDefault="008E2171" w:rsidP="00DF10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85F" w:rsidRPr="00A3185F" w:rsidRDefault="00A3185F" w:rsidP="00DF10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6" w:name="_Hlk493685295"/>
      <w:r>
        <w:rPr>
          <w:rFonts w:ascii="Times New Roman" w:eastAsia="Calibri" w:hAnsi="Times New Roman" w:cs="Times New Roman"/>
          <w:sz w:val="28"/>
          <w:szCs w:val="28"/>
        </w:rPr>
        <w:t>По посочения</w:t>
      </w:r>
      <w:r w:rsidR="00C54F7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по-горе законопроект </w:t>
      </w:r>
      <w:r w:rsidR="00EB75B7">
        <w:rPr>
          <w:rFonts w:ascii="Times New Roman" w:eastAsia="Calibri" w:hAnsi="Times New Roman" w:cs="Times New Roman"/>
          <w:sz w:val="28"/>
          <w:szCs w:val="28"/>
        </w:rPr>
        <w:t xml:space="preserve">и предложения за изменения и допълнения </w:t>
      </w:r>
      <w:r w:rsidR="0048687E">
        <w:rPr>
          <w:rFonts w:ascii="Times New Roman" w:eastAsia="Calibri" w:hAnsi="Times New Roman" w:cs="Times New Roman"/>
          <w:sz w:val="28"/>
          <w:szCs w:val="28"/>
        </w:rPr>
        <w:t>Българска търговско-промишлена п</w:t>
      </w:r>
      <w:r w:rsidRPr="00A3185F">
        <w:rPr>
          <w:rFonts w:ascii="Times New Roman" w:eastAsia="Calibri" w:hAnsi="Times New Roman" w:cs="Times New Roman"/>
          <w:sz w:val="28"/>
          <w:szCs w:val="28"/>
        </w:rPr>
        <w:t>алата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87E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7174DA">
        <w:rPr>
          <w:rFonts w:ascii="Times New Roman" w:eastAsia="Calibri" w:hAnsi="Times New Roman" w:cs="Times New Roman"/>
          <w:sz w:val="28"/>
          <w:szCs w:val="28"/>
        </w:rPr>
        <w:t>БТПП</w:t>
      </w:r>
      <w:r w:rsidR="0048687E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="0071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изразява следното становище:</w:t>
      </w:r>
    </w:p>
    <w:bookmarkEnd w:id="6"/>
    <w:p w:rsidR="00CC784D" w:rsidRDefault="00CC784D" w:rsidP="00A31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EFA" w:rsidRDefault="00A3185F" w:rsidP="00EB75B7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БТПП принципно подкрепя </w:t>
      </w:r>
      <w:r w:rsidR="00B52EFA">
        <w:rPr>
          <w:rFonts w:ascii="Times New Roman" w:eastAsia="Calibri" w:hAnsi="Times New Roman" w:cs="Times New Roman"/>
          <w:sz w:val="28"/>
          <w:szCs w:val="28"/>
        </w:rPr>
        <w:t xml:space="preserve">предложението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EFA">
        <w:rPr>
          <w:rFonts w:ascii="Times New Roman" w:eastAsia="Calibri" w:hAnsi="Times New Roman" w:cs="Times New Roman"/>
          <w:sz w:val="28"/>
          <w:szCs w:val="28"/>
        </w:rPr>
        <w:t xml:space="preserve">изменение на </w:t>
      </w:r>
      <w:bookmarkStart w:id="7" w:name="_Hlk483489275"/>
      <w:r w:rsidR="00B52EFA" w:rsidRPr="00B52EFA">
        <w:rPr>
          <w:rFonts w:ascii="Times New Roman" w:eastAsia="Calibri" w:hAnsi="Times New Roman" w:cs="Times New Roman"/>
          <w:sz w:val="28"/>
          <w:szCs w:val="28"/>
          <w:lang w:val="en-US"/>
        </w:rPr>
        <w:t>§ 1</w:t>
      </w:r>
      <w:r w:rsidR="00B52EFA" w:rsidRPr="00B52EFA">
        <w:rPr>
          <w:rFonts w:ascii="Times New Roman" w:eastAsia="Calibri" w:hAnsi="Times New Roman" w:cs="Times New Roman"/>
          <w:sz w:val="28"/>
          <w:szCs w:val="28"/>
        </w:rPr>
        <w:t xml:space="preserve"> за изменение</w:t>
      </w:r>
      <w:r w:rsidR="00B52EFA">
        <w:rPr>
          <w:rFonts w:ascii="Times New Roman" w:eastAsia="Calibri" w:hAnsi="Times New Roman" w:cs="Times New Roman"/>
          <w:sz w:val="28"/>
          <w:szCs w:val="28"/>
        </w:rPr>
        <w:t xml:space="preserve"> на чл. 228</w:t>
      </w:r>
      <w:r w:rsidR="00B52EFA" w:rsidRPr="00B52EF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bookmarkEnd w:id="7"/>
      <w:r w:rsidR="00B52EFA">
        <w:rPr>
          <w:rFonts w:ascii="Times New Roman" w:eastAsia="Calibri" w:hAnsi="Times New Roman" w:cs="Times New Roman"/>
          <w:sz w:val="28"/>
          <w:szCs w:val="28"/>
        </w:rPr>
        <w:t>КТ</w:t>
      </w:r>
      <w:r w:rsidR="00B52EFA" w:rsidRPr="00B52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FCE">
        <w:rPr>
          <w:rFonts w:ascii="Times New Roman" w:eastAsia="Calibri" w:hAnsi="Times New Roman" w:cs="Times New Roman"/>
          <w:sz w:val="28"/>
          <w:szCs w:val="28"/>
        </w:rPr>
        <w:t>и § 4</w:t>
      </w:r>
      <w:r w:rsidR="00073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FCE">
        <w:rPr>
          <w:rFonts w:ascii="Times New Roman" w:eastAsia="Calibri" w:hAnsi="Times New Roman" w:cs="Times New Roman"/>
          <w:sz w:val="28"/>
          <w:szCs w:val="28"/>
        </w:rPr>
        <w:t xml:space="preserve">за изменение на чл. 412а от КТ </w:t>
      </w:r>
      <w:r w:rsidR="0007344F">
        <w:rPr>
          <w:rFonts w:ascii="Times New Roman" w:eastAsia="Calibri" w:hAnsi="Times New Roman" w:cs="Times New Roman"/>
          <w:sz w:val="28"/>
          <w:szCs w:val="28"/>
        </w:rPr>
        <w:t>на З</w:t>
      </w:r>
      <w:r w:rsidR="00EB75B7">
        <w:rPr>
          <w:rFonts w:ascii="Times New Roman" w:eastAsia="Calibri" w:hAnsi="Times New Roman" w:cs="Times New Roman"/>
          <w:sz w:val="28"/>
          <w:szCs w:val="28"/>
        </w:rPr>
        <w:t xml:space="preserve">аконопроект </w:t>
      </w:r>
      <w:bookmarkStart w:id="8" w:name="_Hlk494290553"/>
      <w:r w:rsidR="0027375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7375C" w:rsidRPr="0027375C">
        <w:rPr>
          <w:rFonts w:ascii="Times New Roman" w:eastAsia="Calibri" w:hAnsi="Times New Roman" w:cs="Times New Roman"/>
          <w:bCs/>
          <w:sz w:val="28"/>
          <w:szCs w:val="28"/>
        </w:rPr>
        <w:t>754-01-40/06.07.2017г.</w:t>
      </w:r>
      <w:r w:rsidR="002737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End w:id="8"/>
      <w:r w:rsidR="00B52EFA">
        <w:rPr>
          <w:rFonts w:ascii="Times New Roman" w:eastAsia="Calibri" w:hAnsi="Times New Roman" w:cs="Times New Roman"/>
          <w:sz w:val="28"/>
          <w:szCs w:val="28"/>
        </w:rPr>
        <w:t>с изложените мотиви.</w:t>
      </w:r>
    </w:p>
    <w:p w:rsidR="0002664E" w:rsidRDefault="0002664E" w:rsidP="00EB75B7">
      <w:pPr>
        <w:pStyle w:val="ListParagraph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64E" w:rsidRDefault="0002664E" w:rsidP="00EB75B7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БТПП изразява своето несъгласие със следните предложения </w:t>
      </w:r>
      <w:r w:rsidR="0027375C">
        <w:rPr>
          <w:rFonts w:ascii="Times New Roman" w:eastAsia="Calibri" w:hAnsi="Times New Roman" w:cs="Times New Roman"/>
          <w:sz w:val="28"/>
          <w:szCs w:val="28"/>
        </w:rPr>
        <w:t xml:space="preserve">в Законопроект № </w:t>
      </w:r>
      <w:r w:rsidR="0027375C" w:rsidRPr="0027375C">
        <w:rPr>
          <w:rFonts w:ascii="Times New Roman" w:eastAsia="Calibri" w:hAnsi="Times New Roman" w:cs="Times New Roman"/>
          <w:bCs/>
          <w:sz w:val="28"/>
          <w:szCs w:val="28"/>
        </w:rPr>
        <w:t xml:space="preserve">754-01-40/06.07.2017г. </w:t>
      </w:r>
      <w:r w:rsidR="00273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изменения съгласно изложените мотиви:</w:t>
      </w:r>
    </w:p>
    <w:p w:rsidR="00601C97" w:rsidRDefault="00601C97" w:rsidP="00601C97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739" w:rsidRDefault="00446398" w:rsidP="001C17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§ 2 предложение за изменение на чл.399, ал.1 от</w:t>
      </w:r>
      <w:r w:rsidR="001C1739" w:rsidRPr="001C17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законопроекта:</w:t>
      </w:r>
    </w:p>
    <w:p w:rsidR="001C1739" w:rsidRPr="001C1739" w:rsidRDefault="001C1739" w:rsidP="001C1739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46398" w:rsidRDefault="00446398" w:rsidP="001C1739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Hlk487717993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B01C2">
        <w:rPr>
          <w:rFonts w:ascii="Times New Roman" w:eastAsia="Calibri" w:hAnsi="Times New Roman" w:cs="Times New Roman"/>
          <w:sz w:val="28"/>
          <w:szCs w:val="28"/>
        </w:rPr>
        <w:t xml:space="preserve">редложението </w:t>
      </w:r>
      <w:r w:rsidRPr="00DA0E55">
        <w:rPr>
          <w:rFonts w:ascii="Times New Roman" w:eastAsia="Calibri" w:hAnsi="Times New Roman" w:cs="Times New Roman"/>
          <w:b/>
          <w:sz w:val="28"/>
          <w:szCs w:val="28"/>
        </w:rPr>
        <w:t>е неприемливо</w:t>
      </w:r>
      <w:r>
        <w:rPr>
          <w:rFonts w:ascii="Times New Roman" w:eastAsia="Calibri" w:hAnsi="Times New Roman" w:cs="Times New Roman"/>
          <w:sz w:val="28"/>
          <w:szCs w:val="28"/>
        </w:rPr>
        <w:t>, защото нарушава основни принципи за разделението на компетентността в правото.</w:t>
      </w:r>
    </w:p>
    <w:p w:rsidR="00446398" w:rsidRDefault="00446398" w:rsidP="001C1739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F15" w:rsidRPr="00D74B3F" w:rsidRDefault="00446398" w:rsidP="00D74B3F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46398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</w:p>
    <w:p w:rsidR="00446398" w:rsidRDefault="0002664E" w:rsidP="001C1739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Инспекцията по труда има законови правомощия да следи само трудовото законодателство, а обезщетенията по Кодекса на труда попадат в сферата на гражданските правоотношения и определянето на техния размер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дължимост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 в изключителната компетентност на съда.</w:t>
      </w:r>
    </w:p>
    <w:p w:rsidR="00446398" w:rsidRDefault="00446398" w:rsidP="001C1739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9"/>
    <w:p w:rsidR="00EF6798" w:rsidRDefault="00EF6798" w:rsidP="001C1739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6C6" w:rsidRDefault="00375D0E" w:rsidP="007656C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0" w:name="_Hlk487718136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§ 3 предложение за изменение на чл. 404 от КТ на</w:t>
      </w:r>
      <w:r w:rsidR="007656C6" w:rsidRPr="00D71DE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законопроекта:</w:t>
      </w:r>
    </w:p>
    <w:bookmarkEnd w:id="10"/>
    <w:p w:rsidR="00841FCE" w:rsidRDefault="00841FCE" w:rsidP="00841FCE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41FCE" w:rsidRDefault="00841FCE" w:rsidP="00841FCE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Предложението </w:t>
      </w:r>
      <w:r w:rsidRPr="00DA0E55">
        <w:rPr>
          <w:rFonts w:ascii="Times New Roman" w:eastAsia="Calibri" w:hAnsi="Times New Roman" w:cs="Times New Roman"/>
          <w:b/>
          <w:sz w:val="28"/>
          <w:szCs w:val="28"/>
        </w:rPr>
        <w:t>е неприемливо</w:t>
      </w:r>
      <w:r>
        <w:rPr>
          <w:rFonts w:ascii="Times New Roman" w:eastAsia="Calibri" w:hAnsi="Times New Roman" w:cs="Times New Roman"/>
          <w:sz w:val="28"/>
          <w:szCs w:val="28"/>
        </w:rPr>
        <w:t>, защото нарушава основни принципи за разделението на компетентността в правото.</w:t>
      </w:r>
    </w:p>
    <w:p w:rsidR="00841FCE" w:rsidRDefault="00841FCE" w:rsidP="00841FCE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FCE" w:rsidRPr="00D74B3F" w:rsidRDefault="00841FCE" w:rsidP="00D74B3F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bookmarkStart w:id="11" w:name="_Hlk487718643"/>
      <w:r w:rsidRPr="00446398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</w:p>
    <w:p w:rsidR="00841FCE" w:rsidRDefault="00841FCE" w:rsidP="00841FCE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Инспекцията по труда има законови правомощия да следи само трудовото законодателство, а обезщетенията по Кодекса на труда попадат в сферата на гражданските правоотношения и определянето на техния размер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дължимост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 в изключителната компетентност на съда, поради което инспекцията по труда няма как да дава преписания за неща извън нейната компетентност.</w:t>
      </w:r>
    </w:p>
    <w:bookmarkEnd w:id="11"/>
    <w:p w:rsidR="00841FCE" w:rsidRDefault="00841FCE" w:rsidP="007944BB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B3F" w:rsidRDefault="00D74B3F" w:rsidP="007944BB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FCE" w:rsidRPr="00453EF2" w:rsidRDefault="00453EF2" w:rsidP="007944BB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2" w:name="_Hlk487719182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§ 5</w:t>
      </w:r>
      <w:r w:rsidR="00841FCE" w:rsidRPr="00453E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пре</w:t>
      </w:r>
      <w:r w:rsidR="007944BB" w:rsidRPr="00453EF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дложение за изменение на чл. 417 от ГПК</w:t>
      </w:r>
      <w:r w:rsidR="00841FCE" w:rsidRPr="00453E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законопроекта:</w:t>
      </w:r>
    </w:p>
    <w:bookmarkEnd w:id="12"/>
    <w:p w:rsidR="00BB3AB5" w:rsidRDefault="007944BB" w:rsidP="00562F1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Предложението </w:t>
      </w:r>
      <w:r w:rsidR="00453EF2">
        <w:rPr>
          <w:rFonts w:ascii="Times New Roman" w:eastAsia="Calibri" w:hAnsi="Times New Roman" w:cs="Times New Roman"/>
          <w:sz w:val="28"/>
          <w:szCs w:val="28"/>
        </w:rPr>
        <w:t xml:space="preserve">следва </w:t>
      </w:r>
      <w:r w:rsidR="00453EF2" w:rsidRPr="00DA0E55">
        <w:rPr>
          <w:rFonts w:ascii="Times New Roman" w:eastAsia="Calibri" w:hAnsi="Times New Roman" w:cs="Times New Roman"/>
          <w:b/>
          <w:sz w:val="28"/>
          <w:szCs w:val="28"/>
        </w:rPr>
        <w:t>да отпадне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защото </w:t>
      </w:r>
      <w:r w:rsidR="00BB3AB5">
        <w:rPr>
          <w:rFonts w:ascii="Times New Roman" w:eastAsia="Calibri" w:hAnsi="Times New Roman" w:cs="Times New Roman"/>
          <w:sz w:val="28"/>
          <w:szCs w:val="28"/>
        </w:rPr>
        <w:t>разширява кръга на правомощията на Инспекцията по труда извън нормативно заложените и функции.</w:t>
      </w:r>
    </w:p>
    <w:p w:rsidR="00BB3AB5" w:rsidRDefault="00BB3AB5" w:rsidP="007944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AB5" w:rsidRPr="00D74B3F" w:rsidRDefault="00BB3AB5" w:rsidP="00D74B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B3AB5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</w:p>
    <w:p w:rsidR="00BB3AB5" w:rsidRDefault="00BB3AB5" w:rsidP="00BB3A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AB5">
        <w:rPr>
          <w:rFonts w:ascii="Times New Roman" w:eastAsia="Calibri" w:hAnsi="Times New Roman" w:cs="Times New Roman"/>
          <w:sz w:val="28"/>
          <w:szCs w:val="28"/>
        </w:rPr>
        <w:t>Инспекцията по труда има законови правомощия да следи само трудовото законодателство, а обезщетенията по Кодекса на труда попадат в сферата на гражданските правоотношения</w:t>
      </w:r>
      <w:r w:rsidR="00453EF2">
        <w:rPr>
          <w:rFonts w:ascii="Times New Roman" w:eastAsia="Calibri" w:hAnsi="Times New Roman" w:cs="Times New Roman"/>
          <w:sz w:val="28"/>
          <w:szCs w:val="28"/>
        </w:rPr>
        <w:t>, както беше отбелязано и по-горе.</w:t>
      </w:r>
      <w:r w:rsidRPr="00BB3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EF2">
        <w:rPr>
          <w:rFonts w:ascii="Times New Roman" w:eastAsia="Calibri" w:hAnsi="Times New Roman" w:cs="Times New Roman"/>
          <w:sz w:val="28"/>
          <w:szCs w:val="28"/>
        </w:rPr>
        <w:t>О</w:t>
      </w:r>
      <w:r w:rsidRPr="00BB3AB5">
        <w:rPr>
          <w:rFonts w:ascii="Times New Roman" w:eastAsia="Calibri" w:hAnsi="Times New Roman" w:cs="Times New Roman"/>
          <w:sz w:val="28"/>
          <w:szCs w:val="28"/>
        </w:rPr>
        <w:t>пределянето на размер</w:t>
      </w:r>
      <w:r w:rsidR="00453EF2">
        <w:rPr>
          <w:rFonts w:ascii="Times New Roman" w:eastAsia="Calibri" w:hAnsi="Times New Roman" w:cs="Times New Roman"/>
          <w:sz w:val="28"/>
          <w:szCs w:val="28"/>
        </w:rPr>
        <w:t>а</w:t>
      </w:r>
      <w:r w:rsidRPr="00BB3AB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53EF2">
        <w:rPr>
          <w:rFonts w:ascii="Times New Roman" w:eastAsia="Calibri" w:hAnsi="Times New Roman" w:cs="Times New Roman"/>
          <w:sz w:val="28"/>
          <w:szCs w:val="28"/>
        </w:rPr>
        <w:t xml:space="preserve">основанието за дължимо обезщетение </w:t>
      </w:r>
      <w:r w:rsidRPr="00BB3AB5">
        <w:rPr>
          <w:rFonts w:ascii="Times New Roman" w:eastAsia="Calibri" w:hAnsi="Times New Roman" w:cs="Times New Roman"/>
          <w:sz w:val="28"/>
          <w:szCs w:val="28"/>
        </w:rPr>
        <w:t>са в изключителната компетентност на</w:t>
      </w:r>
      <w:r w:rsidR="00453EF2">
        <w:rPr>
          <w:rFonts w:ascii="Times New Roman" w:eastAsia="Calibri" w:hAnsi="Times New Roman" w:cs="Times New Roman"/>
          <w:sz w:val="28"/>
          <w:szCs w:val="28"/>
        </w:rPr>
        <w:t xml:space="preserve"> съдебните органи</w:t>
      </w:r>
      <w:r w:rsidRPr="00BB3AB5">
        <w:rPr>
          <w:rFonts w:ascii="Times New Roman" w:eastAsia="Calibri" w:hAnsi="Times New Roman" w:cs="Times New Roman"/>
          <w:sz w:val="28"/>
          <w:szCs w:val="28"/>
        </w:rPr>
        <w:t xml:space="preserve">, поради което </w:t>
      </w:r>
      <w:r w:rsidR="00BE59F0">
        <w:rPr>
          <w:rFonts w:ascii="Times New Roman" w:eastAsia="Calibri" w:hAnsi="Times New Roman" w:cs="Times New Roman"/>
          <w:sz w:val="28"/>
          <w:szCs w:val="28"/>
        </w:rPr>
        <w:t>няма как то да бъде</w:t>
      </w:r>
      <w:r w:rsidR="00025179">
        <w:rPr>
          <w:rFonts w:ascii="Times New Roman" w:eastAsia="Calibri" w:hAnsi="Times New Roman" w:cs="Times New Roman"/>
          <w:sz w:val="28"/>
          <w:szCs w:val="28"/>
        </w:rPr>
        <w:t xml:space="preserve"> определено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акт на инспекцията по труда, нито този акт да стане основание за незабавно производство по ГПК. </w:t>
      </w:r>
    </w:p>
    <w:p w:rsidR="00BB3AB5" w:rsidRDefault="00BB3AB5" w:rsidP="00BB3AB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9F0" w:rsidRPr="00BE59F0" w:rsidRDefault="00BE59F0" w:rsidP="00BE59F0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13" w:name="_Hlk487720820"/>
      <w:r w:rsidRPr="00BE59F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 § 6 предложение за изменение на чл. 141 от Търговския закон на законопроекта:</w:t>
      </w:r>
    </w:p>
    <w:bookmarkEnd w:id="13"/>
    <w:p w:rsidR="00BB3AB5" w:rsidRDefault="00BB3AB5" w:rsidP="00BE59F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E59F0" w:rsidRPr="00562F15" w:rsidRDefault="00562F15" w:rsidP="00BE59F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F15">
        <w:rPr>
          <w:rFonts w:ascii="Times New Roman" w:eastAsia="Calibri" w:hAnsi="Times New Roman" w:cs="Times New Roman"/>
          <w:sz w:val="28"/>
          <w:szCs w:val="28"/>
        </w:rPr>
        <w:t xml:space="preserve">Предложението следва </w:t>
      </w:r>
      <w:r w:rsidRPr="00DA0E55">
        <w:rPr>
          <w:rFonts w:ascii="Times New Roman" w:eastAsia="Calibri" w:hAnsi="Times New Roman" w:cs="Times New Roman"/>
          <w:b/>
          <w:sz w:val="28"/>
          <w:szCs w:val="28"/>
        </w:rPr>
        <w:t>да отпадне.</w:t>
      </w:r>
    </w:p>
    <w:p w:rsidR="00841FCE" w:rsidRPr="007944BB" w:rsidRDefault="00BB3AB5" w:rsidP="00562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2F15" w:rsidRPr="0027375C" w:rsidRDefault="00562F15" w:rsidP="0027375C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Мотиви: </w:t>
      </w:r>
    </w:p>
    <w:p w:rsidR="00562F15" w:rsidRPr="00562F15" w:rsidRDefault="00562F15" w:rsidP="00841FCE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Възникването на </w:t>
      </w:r>
      <w:r w:rsidR="004411CB">
        <w:rPr>
          <w:rFonts w:ascii="Times New Roman" w:eastAsia="Calibri" w:hAnsi="Times New Roman" w:cs="Times New Roman"/>
          <w:sz w:val="28"/>
          <w:szCs w:val="28"/>
        </w:rPr>
        <w:t xml:space="preserve">всяка представителна власт се извършва със съгласието на представителя, а с предложеното изменение се нарушава този принцип. </w:t>
      </w:r>
      <w:r w:rsidR="007569FA">
        <w:rPr>
          <w:rFonts w:ascii="Times New Roman" w:eastAsia="Calibri" w:hAnsi="Times New Roman" w:cs="Times New Roman"/>
          <w:sz w:val="28"/>
          <w:szCs w:val="28"/>
        </w:rPr>
        <w:t>С и</w:t>
      </w:r>
      <w:r w:rsidR="004411CB">
        <w:rPr>
          <w:rFonts w:ascii="Times New Roman" w:eastAsia="Calibri" w:hAnsi="Times New Roman" w:cs="Times New Roman"/>
          <w:sz w:val="28"/>
          <w:szCs w:val="28"/>
        </w:rPr>
        <w:t>зменение</w:t>
      </w:r>
      <w:r w:rsidR="007569FA">
        <w:rPr>
          <w:rFonts w:ascii="Times New Roman" w:eastAsia="Calibri" w:hAnsi="Times New Roman" w:cs="Times New Roman"/>
          <w:sz w:val="28"/>
          <w:szCs w:val="28"/>
        </w:rPr>
        <w:t>то</w:t>
      </w:r>
      <w:r w:rsidR="004411CB">
        <w:rPr>
          <w:rFonts w:ascii="Times New Roman" w:eastAsia="Calibri" w:hAnsi="Times New Roman" w:cs="Times New Roman"/>
          <w:sz w:val="28"/>
          <w:szCs w:val="28"/>
        </w:rPr>
        <w:t xml:space="preserve"> на чл. 141, ал. 8 </w:t>
      </w:r>
      <w:r w:rsidR="00677460">
        <w:rPr>
          <w:rFonts w:ascii="Times New Roman" w:eastAsia="Calibri" w:hAnsi="Times New Roman" w:cs="Times New Roman"/>
          <w:sz w:val="28"/>
          <w:szCs w:val="28"/>
        </w:rPr>
        <w:t xml:space="preserve">също така </w:t>
      </w:r>
      <w:r w:rsidR="004411CB">
        <w:rPr>
          <w:rFonts w:ascii="Times New Roman" w:eastAsia="Calibri" w:hAnsi="Times New Roman" w:cs="Times New Roman"/>
          <w:sz w:val="28"/>
          <w:szCs w:val="28"/>
        </w:rPr>
        <w:t>ще</w:t>
      </w:r>
      <w:r w:rsidR="007569FA">
        <w:rPr>
          <w:rFonts w:ascii="Times New Roman" w:eastAsia="Calibri" w:hAnsi="Times New Roman" w:cs="Times New Roman"/>
          <w:sz w:val="28"/>
          <w:szCs w:val="28"/>
        </w:rPr>
        <w:t xml:space="preserve"> се създаде противоречие с нормите</w:t>
      </w:r>
      <w:r w:rsidR="004411CB">
        <w:rPr>
          <w:rFonts w:ascii="Times New Roman" w:eastAsia="Calibri" w:hAnsi="Times New Roman" w:cs="Times New Roman"/>
          <w:sz w:val="28"/>
          <w:szCs w:val="28"/>
        </w:rPr>
        <w:t xml:space="preserve"> на чл. 155,</w:t>
      </w:r>
      <w:r w:rsidR="00677460">
        <w:rPr>
          <w:rFonts w:ascii="Times New Roman" w:eastAsia="Calibri" w:hAnsi="Times New Roman" w:cs="Times New Roman"/>
          <w:sz w:val="28"/>
          <w:szCs w:val="28"/>
        </w:rPr>
        <w:t xml:space="preserve"> т. 3 от ТЗ</w:t>
      </w:r>
      <w:r w:rsidR="003B1142">
        <w:rPr>
          <w:rFonts w:ascii="Times New Roman" w:eastAsia="Calibri" w:hAnsi="Times New Roman" w:cs="Times New Roman"/>
          <w:sz w:val="28"/>
          <w:szCs w:val="28"/>
        </w:rPr>
        <w:t xml:space="preserve"> относно прекратяването на дружеството по искане на прокурор при не вписването на управител в рамките на три месечен срок</w:t>
      </w:r>
      <w:r w:rsidR="00677460">
        <w:rPr>
          <w:rFonts w:ascii="Times New Roman" w:eastAsia="Calibri" w:hAnsi="Times New Roman" w:cs="Times New Roman"/>
          <w:sz w:val="28"/>
          <w:szCs w:val="28"/>
        </w:rPr>
        <w:t xml:space="preserve"> и чл. 11 от ДОПК</w:t>
      </w:r>
      <w:r w:rsidR="003B1142">
        <w:rPr>
          <w:rFonts w:ascii="Times New Roman" w:eastAsia="Calibri" w:hAnsi="Times New Roman" w:cs="Times New Roman"/>
          <w:sz w:val="28"/>
          <w:szCs w:val="28"/>
        </w:rPr>
        <w:t xml:space="preserve"> за назначаването на особен представител</w:t>
      </w:r>
      <w:r w:rsidR="00677460">
        <w:rPr>
          <w:rFonts w:ascii="Times New Roman" w:eastAsia="Calibri" w:hAnsi="Times New Roman" w:cs="Times New Roman"/>
          <w:sz w:val="28"/>
          <w:szCs w:val="28"/>
        </w:rPr>
        <w:t xml:space="preserve"> при връчването на ревизионен акт.</w:t>
      </w:r>
      <w:r w:rsidR="004411C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62F15" w:rsidRPr="00562F15" w:rsidRDefault="00562F15" w:rsidP="00841FCE">
      <w:pPr>
        <w:pStyle w:val="ListParagraph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FCE" w:rsidRPr="00D71DEC" w:rsidRDefault="003B1142" w:rsidP="00841FCE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1142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3B1142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  <w:t>По § 6 пре</w:t>
      </w:r>
      <w:r w:rsidR="00CA06F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дложение за изменение на чл. 687 и чл.789</w:t>
      </w:r>
      <w:r w:rsidRPr="003B114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 Търговския закон на законопроекта:</w:t>
      </w:r>
    </w:p>
    <w:p w:rsidR="007656C6" w:rsidRPr="001176F9" w:rsidRDefault="007656C6" w:rsidP="007656C6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6FC" w:rsidRPr="001176F9" w:rsidRDefault="00CA06FC" w:rsidP="007656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6F9">
        <w:rPr>
          <w:rFonts w:ascii="Times New Roman" w:eastAsia="Calibri" w:hAnsi="Times New Roman" w:cs="Times New Roman"/>
          <w:sz w:val="28"/>
          <w:szCs w:val="28"/>
        </w:rPr>
        <w:t xml:space="preserve">Предложенията следват </w:t>
      </w:r>
      <w:r w:rsidRPr="00DA0E55">
        <w:rPr>
          <w:rFonts w:ascii="Times New Roman" w:eastAsia="Calibri" w:hAnsi="Times New Roman" w:cs="Times New Roman"/>
          <w:b/>
          <w:sz w:val="28"/>
          <w:szCs w:val="28"/>
        </w:rPr>
        <w:t>да отпаднат</w:t>
      </w:r>
      <w:r w:rsidRPr="001176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6FC" w:rsidRPr="001176F9" w:rsidRDefault="00CA06FC" w:rsidP="007656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6FC" w:rsidRDefault="001176F9" w:rsidP="007656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6F9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</w:t>
      </w:r>
      <w:r w:rsidR="00CA06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06FC" w:rsidRDefault="001176F9" w:rsidP="007656C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направените предложения липсват мотиви какво налага това изменение и до каква степен то е оправдано спрямо останалите участници в процеса по несъстоятелност и стабилизация. </w:t>
      </w:r>
    </w:p>
    <w:p w:rsidR="008B01C2" w:rsidRDefault="008B01C2" w:rsidP="008B01C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35A" w:rsidRDefault="001176F9" w:rsidP="00F453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§ 7</w:t>
      </w:r>
      <w:r w:rsidR="00F4535A" w:rsidRPr="00F4535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 законопроекта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изменение на зак</w:t>
      </w:r>
      <w:r w:rsidR="00F2402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она за гарантиране вземанията на работниците и служителите при несъстоятелност на работодателя</w:t>
      </w:r>
      <w:r w:rsidR="00F4535A" w:rsidRPr="00F4535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F4535A" w:rsidRDefault="00F4535A" w:rsidP="00F4535A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402B" w:rsidRDefault="00F2402B" w:rsidP="00F453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Hlk494271821"/>
      <w:r>
        <w:rPr>
          <w:rFonts w:ascii="Times New Roman" w:eastAsia="Calibri" w:hAnsi="Times New Roman" w:cs="Times New Roman"/>
          <w:sz w:val="28"/>
          <w:szCs w:val="28"/>
        </w:rPr>
        <w:t xml:space="preserve">Предлаганата промяна </w:t>
      </w:r>
      <w:r w:rsidRPr="00DA0E55">
        <w:rPr>
          <w:rFonts w:ascii="Times New Roman" w:eastAsia="Calibri" w:hAnsi="Times New Roman" w:cs="Times New Roman"/>
          <w:b/>
          <w:sz w:val="28"/>
          <w:szCs w:val="28"/>
        </w:rPr>
        <w:t>е неприемлива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02B" w:rsidRDefault="00F2402B" w:rsidP="00F4535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02B" w:rsidRDefault="00F2402B" w:rsidP="0027375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02B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6B3D" w:rsidRDefault="00F2402B" w:rsidP="00F2402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_Hlk493759142"/>
      <w:r>
        <w:rPr>
          <w:rFonts w:ascii="Times New Roman" w:eastAsia="Calibri" w:hAnsi="Times New Roman" w:cs="Times New Roman"/>
          <w:sz w:val="28"/>
          <w:szCs w:val="28"/>
        </w:rPr>
        <w:t xml:space="preserve">По предложението не е изготвена оценка на въздействие и финансова обосновка дали фонда разполага с необходимите средства и </w:t>
      </w:r>
      <w:r w:rsidR="007569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какъв срок средствата </w:t>
      </w:r>
      <w:r w:rsidR="007569FA">
        <w:rPr>
          <w:rFonts w:ascii="Times New Roman" w:eastAsia="Calibri" w:hAnsi="Times New Roman" w:cs="Times New Roman"/>
          <w:sz w:val="28"/>
          <w:szCs w:val="28"/>
        </w:rPr>
        <w:t xml:space="preserve">ще стигнат при </w:t>
      </w:r>
      <w:r>
        <w:rPr>
          <w:rFonts w:ascii="Times New Roman" w:eastAsia="Calibri" w:hAnsi="Times New Roman" w:cs="Times New Roman"/>
          <w:sz w:val="28"/>
          <w:szCs w:val="28"/>
        </w:rPr>
        <w:t>подобно увеличение.</w:t>
      </w:r>
      <w:bookmarkStart w:id="16" w:name="_Hlk484078940"/>
    </w:p>
    <w:bookmarkEnd w:id="14"/>
    <w:bookmarkEnd w:id="15"/>
    <w:p w:rsidR="00C96B3D" w:rsidRDefault="00C96B3D" w:rsidP="004B65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6"/>
    <w:p w:rsidR="002A68FF" w:rsidRPr="0048687E" w:rsidRDefault="00F2402B" w:rsidP="00C875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§ 8</w:t>
      </w:r>
      <w:r w:rsidR="00C875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 законопроекта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изменение на чл. 54, 56 и 58 от ЗОП</w:t>
      </w:r>
    </w:p>
    <w:p w:rsidR="0048687E" w:rsidRPr="00C87586" w:rsidRDefault="0048687E" w:rsidP="0048687E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02B" w:rsidRDefault="00F2402B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02B" w:rsidRDefault="00F2402B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Предложенията са неприемливи</w:t>
      </w:r>
      <w:r w:rsidR="0045407C">
        <w:rPr>
          <w:rFonts w:ascii="Times New Roman" w:eastAsia="Calibri" w:hAnsi="Times New Roman" w:cs="Times New Roman"/>
          <w:sz w:val="28"/>
          <w:szCs w:val="28"/>
        </w:rPr>
        <w:t xml:space="preserve"> и в противоречие с основни процесуални правила, поради което следва </w:t>
      </w:r>
      <w:r w:rsidR="0045407C" w:rsidRPr="00DA0E55">
        <w:rPr>
          <w:rFonts w:ascii="Times New Roman" w:eastAsia="Calibri" w:hAnsi="Times New Roman" w:cs="Times New Roman"/>
          <w:b/>
          <w:sz w:val="28"/>
          <w:szCs w:val="28"/>
        </w:rPr>
        <w:t>да отпаднат</w:t>
      </w:r>
      <w:r w:rsidR="00454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407C" w:rsidRDefault="0045407C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07C" w:rsidRPr="0027375C" w:rsidRDefault="0045407C" w:rsidP="002737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5407C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</w:p>
    <w:p w:rsidR="0045407C" w:rsidRDefault="0045407C" w:rsidP="00622E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практика с предложението за изменение на чл. 54, ал. 1, т. 6 се разширяват основанията за отстраняване на кандидат, като</w:t>
      </w:r>
      <w:r w:rsidR="000D0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63B">
        <w:rPr>
          <w:rFonts w:ascii="Times New Roman" w:eastAsia="Calibri" w:hAnsi="Times New Roman" w:cs="Times New Roman"/>
          <w:sz w:val="28"/>
          <w:szCs w:val="28"/>
        </w:rPr>
        <w:t xml:space="preserve">същите основания </w:t>
      </w:r>
      <w:r w:rsidR="007569FA">
        <w:rPr>
          <w:rFonts w:ascii="Times New Roman" w:eastAsia="Calibri" w:hAnsi="Times New Roman" w:cs="Times New Roman"/>
          <w:sz w:val="28"/>
          <w:szCs w:val="28"/>
        </w:rPr>
        <w:t xml:space="preserve">по Кодекса на труда </w:t>
      </w:r>
      <w:r w:rsidR="008F163B">
        <w:rPr>
          <w:rFonts w:ascii="Times New Roman" w:eastAsia="Calibri" w:hAnsi="Times New Roman" w:cs="Times New Roman"/>
          <w:sz w:val="28"/>
          <w:szCs w:val="28"/>
        </w:rPr>
        <w:t xml:space="preserve">подлежат на обжалване, което е недопустимо. Също така трябва да се отбележи, че не всяко нарушение на кандидата трябва да бъде предпоставка за отстраняването му и е необходимо да има закономерност в степента на нарушението, каквато вече е съобразена в ЗОП, с възможността за предприемане на мерки за доказване на надеждност. Не на последно място трябва да се отбележи и </w:t>
      </w:r>
      <w:r w:rsidR="00622EAE">
        <w:rPr>
          <w:rFonts w:ascii="Times New Roman" w:eastAsia="Calibri" w:hAnsi="Times New Roman" w:cs="Times New Roman"/>
          <w:sz w:val="28"/>
          <w:szCs w:val="28"/>
        </w:rPr>
        <w:t xml:space="preserve">че по-този начин се ограничава възможността на </w:t>
      </w:r>
      <w:r w:rsidR="00C401B0">
        <w:rPr>
          <w:rFonts w:ascii="Times New Roman" w:eastAsia="Calibri" w:hAnsi="Times New Roman" w:cs="Times New Roman"/>
          <w:sz w:val="28"/>
          <w:szCs w:val="28"/>
        </w:rPr>
        <w:t>фирмите да спечелят обществени поръчки</w:t>
      </w:r>
      <w:r w:rsidR="00622EAE">
        <w:rPr>
          <w:rFonts w:ascii="Times New Roman" w:eastAsia="Calibri" w:hAnsi="Times New Roman" w:cs="Times New Roman"/>
          <w:sz w:val="28"/>
          <w:szCs w:val="28"/>
        </w:rPr>
        <w:t xml:space="preserve"> и да изплатят задълженията си.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407C" w:rsidRDefault="0045407C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4DA" w:rsidRDefault="007174DA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74DA" w:rsidRPr="00822E4F" w:rsidRDefault="0027375C" w:rsidP="00822E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Hlk494271494"/>
      <w:r>
        <w:rPr>
          <w:rFonts w:ascii="Times New Roman" w:eastAsia="Calibri" w:hAnsi="Times New Roman" w:cs="Times New Roman"/>
          <w:sz w:val="28"/>
          <w:szCs w:val="28"/>
        </w:rPr>
        <w:t>По посочените</w:t>
      </w:r>
      <w:r w:rsidR="007174DA" w:rsidRPr="00822E4F">
        <w:rPr>
          <w:rFonts w:ascii="Times New Roman" w:eastAsia="Calibri" w:hAnsi="Times New Roman" w:cs="Times New Roman"/>
          <w:sz w:val="28"/>
          <w:szCs w:val="28"/>
        </w:rPr>
        <w:t xml:space="preserve"> по-горе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с № </w:t>
      </w:r>
      <w:r w:rsidR="007174DA" w:rsidRPr="00822E4F">
        <w:rPr>
          <w:rFonts w:ascii="Times New Roman" w:eastAsia="Calibri" w:hAnsi="Times New Roman" w:cs="Times New Roman"/>
          <w:sz w:val="28"/>
          <w:szCs w:val="28"/>
        </w:rPr>
        <w:t xml:space="preserve">754-04-72/19.09.2017г.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към Законопроект № 754-01-40/06.07.2017г. </w:t>
      </w:r>
      <w:r w:rsidR="007174DA" w:rsidRPr="00822E4F">
        <w:rPr>
          <w:rFonts w:ascii="Times New Roman" w:eastAsia="Calibri" w:hAnsi="Times New Roman" w:cs="Times New Roman"/>
          <w:sz w:val="28"/>
          <w:szCs w:val="28"/>
        </w:rPr>
        <w:t xml:space="preserve">Българска търговско-промишлена палата </w:t>
      </w:r>
      <w:r w:rsidR="007174DA" w:rsidRPr="00822E4F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7174DA" w:rsidRPr="00822E4F">
        <w:rPr>
          <w:rFonts w:ascii="Times New Roman" w:eastAsia="Calibri" w:hAnsi="Times New Roman" w:cs="Times New Roman"/>
          <w:sz w:val="28"/>
          <w:szCs w:val="28"/>
        </w:rPr>
        <w:t>БТПП</w:t>
      </w:r>
      <w:r w:rsidR="007174DA" w:rsidRPr="00822E4F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="007174DA" w:rsidRPr="00822E4F">
        <w:rPr>
          <w:rFonts w:ascii="Times New Roman" w:eastAsia="Calibri" w:hAnsi="Times New Roman" w:cs="Times New Roman"/>
          <w:sz w:val="28"/>
          <w:szCs w:val="28"/>
        </w:rPr>
        <w:t xml:space="preserve"> изразява следното становище:</w:t>
      </w:r>
    </w:p>
    <w:bookmarkEnd w:id="17"/>
    <w:p w:rsidR="00313B4F" w:rsidRDefault="00313B4F" w:rsidP="00717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F7B" w:rsidRDefault="00C54F7B" w:rsidP="007174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F7B" w:rsidRDefault="00C54F7B" w:rsidP="00C54F7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4F7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§</w:t>
      </w:r>
      <w:r w:rsidR="00FD223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54F7B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4108C4">
        <w:rPr>
          <w:rFonts w:ascii="Times New Roman" w:eastAsia="Calibri" w:hAnsi="Times New Roman" w:cs="Times New Roman"/>
          <w:b/>
          <w:sz w:val="28"/>
          <w:szCs w:val="28"/>
          <w:u w:val="single"/>
        </w:rPr>
        <w:t>/1</w:t>
      </w:r>
      <w:r w:rsidRPr="00C54F7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предложението за създаването на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 ал. 4 и ал</w:t>
      </w:r>
      <w:r w:rsidR="007B74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 на чл. 15 от Търговския закон: </w:t>
      </w:r>
    </w:p>
    <w:p w:rsidR="00C54F7B" w:rsidRDefault="00C54F7B" w:rsidP="00C54F7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54F7B" w:rsidRPr="00C54F7B" w:rsidRDefault="00C54F7B" w:rsidP="00C54F7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4F7B">
        <w:rPr>
          <w:rFonts w:ascii="Times New Roman" w:eastAsia="Calibri" w:hAnsi="Times New Roman" w:cs="Times New Roman"/>
          <w:sz w:val="28"/>
          <w:szCs w:val="28"/>
        </w:rPr>
        <w:t>Предложенията следва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да отпаднат.</w:t>
      </w:r>
      <w:r w:rsidRPr="00C54F7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p w:rsidR="007174DA" w:rsidRDefault="007174DA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F7B" w:rsidRPr="00C54F7B" w:rsidRDefault="00C54F7B" w:rsidP="00C54F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B">
        <w:rPr>
          <w:rFonts w:ascii="Times New Roman" w:eastAsia="Calibri" w:hAnsi="Times New Roman" w:cs="Times New Roman"/>
          <w:sz w:val="28"/>
          <w:szCs w:val="28"/>
        </w:rPr>
        <w:t xml:space="preserve">Подобна „забранителна“ мярка, за разпореждане с право трябва да бъде оправдана </w:t>
      </w:r>
      <w:r w:rsidR="00150090">
        <w:rPr>
          <w:rFonts w:ascii="Times New Roman" w:eastAsia="Calibri" w:hAnsi="Times New Roman" w:cs="Times New Roman"/>
          <w:sz w:val="28"/>
          <w:szCs w:val="28"/>
        </w:rPr>
        <w:t xml:space="preserve">от сериозна оценка на въздействие </w:t>
      </w:r>
      <w:r w:rsidR="000B47F9">
        <w:rPr>
          <w:rFonts w:ascii="Times New Roman" w:eastAsia="Calibri" w:hAnsi="Times New Roman" w:cs="Times New Roman"/>
          <w:sz w:val="28"/>
          <w:szCs w:val="28"/>
        </w:rPr>
        <w:t>върху търговския оборот и разумен срок, в който да се следи за неизплатени трудови възнаграждения преди</w:t>
      </w:r>
      <w:r w:rsidRPr="00C54F7B">
        <w:rPr>
          <w:rFonts w:ascii="Times New Roman" w:eastAsia="Calibri" w:hAnsi="Times New Roman" w:cs="Times New Roman"/>
          <w:sz w:val="28"/>
          <w:szCs w:val="28"/>
        </w:rPr>
        <w:t xml:space="preserve"> прехвърляне на търговско предприятие</w:t>
      </w:r>
      <w:r w:rsidR="007B7464">
        <w:rPr>
          <w:rFonts w:ascii="Times New Roman" w:eastAsia="Calibri" w:hAnsi="Times New Roman" w:cs="Times New Roman"/>
          <w:sz w:val="28"/>
          <w:szCs w:val="28"/>
        </w:rPr>
        <w:t>.</w:t>
      </w:r>
      <w:r w:rsidRPr="00C54F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4F7B" w:rsidRPr="00C54F7B" w:rsidRDefault="00C54F7B" w:rsidP="007B74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F7B">
        <w:rPr>
          <w:rFonts w:ascii="Times New Roman" w:eastAsia="Calibri" w:hAnsi="Times New Roman" w:cs="Times New Roman"/>
          <w:sz w:val="28"/>
          <w:szCs w:val="28"/>
        </w:rPr>
        <w:t xml:space="preserve">Към законопроекта не е изготвена и </w:t>
      </w:r>
      <w:r w:rsidR="000B47F9">
        <w:rPr>
          <w:rFonts w:ascii="Times New Roman" w:eastAsia="Calibri" w:hAnsi="Times New Roman" w:cs="Times New Roman"/>
          <w:sz w:val="28"/>
          <w:szCs w:val="28"/>
        </w:rPr>
        <w:t xml:space="preserve">финансова обосновка </w:t>
      </w:r>
      <w:r w:rsidRPr="00C54F7B">
        <w:rPr>
          <w:rFonts w:ascii="Times New Roman" w:eastAsia="Calibri" w:hAnsi="Times New Roman" w:cs="Times New Roman"/>
          <w:sz w:val="28"/>
          <w:szCs w:val="28"/>
        </w:rPr>
        <w:t xml:space="preserve">относно правата на изправните търговци. А именно до колко подобни забранителни мерки биха забавили и натоварили административно страните да сключат сделки по прехвърляне </w:t>
      </w:r>
      <w:r w:rsidR="007B74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54F7B">
        <w:rPr>
          <w:rFonts w:ascii="Times New Roman" w:eastAsia="Calibri" w:hAnsi="Times New Roman" w:cs="Times New Roman"/>
          <w:sz w:val="28"/>
          <w:szCs w:val="28"/>
        </w:rPr>
        <w:t xml:space="preserve">търговско предприятие. </w:t>
      </w:r>
    </w:p>
    <w:p w:rsidR="00F2402B" w:rsidRDefault="00F2402B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02B" w:rsidRDefault="00F2402B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E79" w:rsidRPr="00A32E79" w:rsidRDefault="004108C4" w:rsidP="00A32E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8" w:name="_Hlk488050371"/>
      <w:r w:rsidRPr="0092105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§ 6/2</w:t>
      </w:r>
      <w:r w:rsidR="00A32E79" w:rsidRPr="009210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 законопроекта за създаване на чл. 129, ал. 1 от </w:t>
      </w:r>
      <w:r w:rsidR="00BA4BED" w:rsidRPr="0092105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законопроекта</w:t>
      </w:r>
      <w:r w:rsidR="00A32E79" w:rsidRPr="00A32E7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32E79" w:rsidRPr="00A32E79" w:rsidRDefault="00A32E79" w:rsidP="00A32E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18"/>
    <w:p w:rsidR="00A32E79" w:rsidRPr="00A32E79" w:rsidRDefault="00A32E79" w:rsidP="00A32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E79">
        <w:rPr>
          <w:rFonts w:ascii="Times New Roman" w:eastAsia="Calibri" w:hAnsi="Times New Roman" w:cs="Times New Roman"/>
          <w:sz w:val="28"/>
          <w:szCs w:val="28"/>
        </w:rPr>
        <w:t xml:space="preserve">Предложението следва </w:t>
      </w:r>
      <w:r w:rsidRPr="00DA0E55">
        <w:rPr>
          <w:rFonts w:ascii="Times New Roman" w:eastAsia="Calibri" w:hAnsi="Times New Roman" w:cs="Times New Roman"/>
          <w:b/>
          <w:sz w:val="28"/>
          <w:szCs w:val="28"/>
        </w:rPr>
        <w:t>да отпадне</w:t>
      </w:r>
      <w:r w:rsidRPr="00A32E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E79" w:rsidRPr="00A32E79" w:rsidRDefault="00A32E79" w:rsidP="00A32E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E79" w:rsidRPr="004D4F59" w:rsidRDefault="00A32E79" w:rsidP="004D4F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32E79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</w:p>
    <w:p w:rsidR="00A32E79" w:rsidRDefault="00A32E79" w:rsidP="00A32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E79">
        <w:rPr>
          <w:rFonts w:ascii="Times New Roman" w:eastAsia="Calibri" w:hAnsi="Times New Roman" w:cs="Times New Roman"/>
          <w:sz w:val="28"/>
          <w:szCs w:val="28"/>
        </w:rPr>
        <w:t xml:space="preserve">По отношение на </w:t>
      </w:r>
      <w:r w:rsidR="00C41561">
        <w:rPr>
          <w:rFonts w:ascii="Times New Roman" w:eastAsia="Calibri" w:hAnsi="Times New Roman" w:cs="Times New Roman"/>
          <w:sz w:val="28"/>
          <w:szCs w:val="28"/>
        </w:rPr>
        <w:t xml:space="preserve">създаването на задължителна предпоставка за прехвърлянето и наследяването на дружествен дял по реда </w:t>
      </w:r>
      <w:r w:rsidRPr="00A32E79">
        <w:rPr>
          <w:rFonts w:ascii="Times New Roman" w:eastAsia="Calibri" w:hAnsi="Times New Roman" w:cs="Times New Roman"/>
          <w:sz w:val="28"/>
          <w:szCs w:val="28"/>
        </w:rPr>
        <w:t xml:space="preserve">на чл. 129 от ТЗ, то същото </w:t>
      </w:r>
      <w:r w:rsidR="00C41561">
        <w:rPr>
          <w:rFonts w:ascii="Times New Roman" w:eastAsia="Calibri" w:hAnsi="Times New Roman" w:cs="Times New Roman"/>
          <w:sz w:val="28"/>
          <w:szCs w:val="28"/>
        </w:rPr>
        <w:t>е прекомерна забранителна мярка, която би попречила</w:t>
      </w:r>
      <w:r w:rsidR="00C41561" w:rsidRPr="00C4156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D4873">
        <w:rPr>
          <w:rFonts w:ascii="Times New Roman" w:eastAsia="Calibri" w:hAnsi="Times New Roman" w:cs="Times New Roman"/>
          <w:sz w:val="28"/>
          <w:szCs w:val="28"/>
        </w:rPr>
        <w:t>наследяването на собственост или придобиването на права. Подобно изменение</w:t>
      </w:r>
      <w:r w:rsidR="00C41561" w:rsidRPr="00C41561">
        <w:rPr>
          <w:rFonts w:ascii="Times New Roman" w:eastAsia="Calibri" w:hAnsi="Times New Roman" w:cs="Times New Roman"/>
          <w:sz w:val="28"/>
          <w:szCs w:val="28"/>
        </w:rPr>
        <w:t xml:space="preserve"> противоречи на идеята и целта на правовия ред</w:t>
      </w:r>
      <w:r w:rsidR="00FD2232">
        <w:rPr>
          <w:rFonts w:ascii="Times New Roman" w:eastAsia="Calibri" w:hAnsi="Times New Roman" w:cs="Times New Roman"/>
          <w:sz w:val="28"/>
          <w:szCs w:val="28"/>
        </w:rPr>
        <w:t>,</w:t>
      </w:r>
      <w:r w:rsidR="00C41561" w:rsidRPr="00C41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561" w:rsidRPr="00C415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гражданскоправния </w:t>
      </w:r>
      <w:r w:rsidR="004108C4">
        <w:rPr>
          <w:rFonts w:ascii="Times New Roman" w:eastAsia="Calibri" w:hAnsi="Times New Roman" w:cs="Times New Roman"/>
          <w:sz w:val="28"/>
          <w:szCs w:val="28"/>
        </w:rPr>
        <w:t xml:space="preserve">и търговския </w:t>
      </w:r>
      <w:r w:rsidR="00C41561" w:rsidRPr="00C41561">
        <w:rPr>
          <w:rFonts w:ascii="Times New Roman" w:eastAsia="Calibri" w:hAnsi="Times New Roman" w:cs="Times New Roman"/>
          <w:sz w:val="28"/>
          <w:szCs w:val="28"/>
        </w:rPr>
        <w:t>оборот</w:t>
      </w:r>
      <w:r w:rsidR="00FD2232">
        <w:rPr>
          <w:rFonts w:ascii="Times New Roman" w:eastAsia="Calibri" w:hAnsi="Times New Roman" w:cs="Times New Roman"/>
          <w:sz w:val="28"/>
          <w:szCs w:val="28"/>
        </w:rPr>
        <w:t xml:space="preserve"> и закона за наследството</w:t>
      </w:r>
      <w:r w:rsidR="00C41561" w:rsidRPr="00C41561">
        <w:rPr>
          <w:rFonts w:ascii="Times New Roman" w:eastAsia="Calibri" w:hAnsi="Times New Roman" w:cs="Times New Roman"/>
          <w:sz w:val="28"/>
          <w:szCs w:val="28"/>
        </w:rPr>
        <w:t>.</w:t>
      </w:r>
      <w:r w:rsidR="00FD2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561" w:rsidRPr="00C41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E79">
        <w:rPr>
          <w:rFonts w:ascii="Times New Roman" w:eastAsia="Calibri" w:hAnsi="Times New Roman" w:cs="Times New Roman"/>
          <w:sz w:val="28"/>
          <w:szCs w:val="28"/>
        </w:rPr>
        <w:t>Предлаганият те</w:t>
      </w:r>
      <w:r w:rsidR="004108C4">
        <w:rPr>
          <w:rFonts w:ascii="Times New Roman" w:eastAsia="Calibri" w:hAnsi="Times New Roman" w:cs="Times New Roman"/>
          <w:sz w:val="28"/>
          <w:szCs w:val="28"/>
        </w:rPr>
        <w:t xml:space="preserve">кст също така </w:t>
      </w:r>
      <w:r w:rsidR="00463157">
        <w:rPr>
          <w:rFonts w:ascii="Times New Roman" w:eastAsia="Calibri" w:hAnsi="Times New Roman" w:cs="Times New Roman"/>
          <w:sz w:val="28"/>
          <w:szCs w:val="28"/>
        </w:rPr>
        <w:t>не конкретизира</w:t>
      </w:r>
      <w:r w:rsidRPr="00A32E79">
        <w:rPr>
          <w:rFonts w:ascii="Times New Roman" w:eastAsia="Calibri" w:hAnsi="Times New Roman" w:cs="Times New Roman"/>
          <w:sz w:val="28"/>
          <w:szCs w:val="28"/>
        </w:rPr>
        <w:t xml:space="preserve"> от кого следва да се установят тези задължения, като се има предвид,</w:t>
      </w:r>
      <w:r w:rsidR="00FD2232">
        <w:rPr>
          <w:rFonts w:ascii="Times New Roman" w:eastAsia="Calibri" w:hAnsi="Times New Roman" w:cs="Times New Roman"/>
          <w:sz w:val="28"/>
          <w:szCs w:val="28"/>
        </w:rPr>
        <w:t xml:space="preserve"> че те трябва да са установени с решение на съд</w:t>
      </w:r>
      <w:r w:rsidRPr="00A32E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D4873">
        <w:rPr>
          <w:rFonts w:ascii="Times New Roman" w:eastAsia="Calibri" w:hAnsi="Times New Roman" w:cs="Times New Roman"/>
          <w:sz w:val="28"/>
          <w:szCs w:val="28"/>
        </w:rPr>
        <w:t xml:space="preserve">Неясен е и </w:t>
      </w:r>
      <w:r w:rsidR="00463157">
        <w:rPr>
          <w:rFonts w:ascii="Times New Roman" w:eastAsia="Calibri" w:hAnsi="Times New Roman" w:cs="Times New Roman"/>
          <w:sz w:val="28"/>
          <w:szCs w:val="28"/>
        </w:rPr>
        <w:t xml:space="preserve">мотива </w:t>
      </w:r>
      <w:r w:rsidR="001D4873">
        <w:rPr>
          <w:rFonts w:ascii="Times New Roman" w:eastAsia="Calibri" w:hAnsi="Times New Roman" w:cs="Times New Roman"/>
          <w:sz w:val="28"/>
          <w:szCs w:val="28"/>
        </w:rPr>
        <w:t>как</w:t>
      </w:r>
      <w:r w:rsidR="009E192F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1D4873">
        <w:rPr>
          <w:rFonts w:ascii="Times New Roman" w:eastAsia="Calibri" w:hAnsi="Times New Roman" w:cs="Times New Roman"/>
          <w:sz w:val="28"/>
          <w:szCs w:val="28"/>
        </w:rPr>
        <w:t xml:space="preserve">точно </w:t>
      </w:r>
      <w:r w:rsidR="009E192F">
        <w:rPr>
          <w:rFonts w:ascii="Times New Roman" w:eastAsia="Calibri" w:hAnsi="Times New Roman" w:cs="Times New Roman"/>
          <w:sz w:val="28"/>
          <w:szCs w:val="28"/>
        </w:rPr>
        <w:t xml:space="preserve">налага да </w:t>
      </w:r>
      <w:r w:rsidR="001D4873">
        <w:rPr>
          <w:rFonts w:ascii="Times New Roman" w:eastAsia="Calibri" w:hAnsi="Times New Roman" w:cs="Times New Roman"/>
          <w:sz w:val="28"/>
          <w:szCs w:val="28"/>
        </w:rPr>
        <w:t>се изплащат тези изискуеми възнаграждения от</w:t>
      </w:r>
      <w:r w:rsidR="00463157">
        <w:rPr>
          <w:rFonts w:ascii="Times New Roman" w:eastAsia="Calibri" w:hAnsi="Times New Roman" w:cs="Times New Roman"/>
          <w:sz w:val="28"/>
          <w:szCs w:val="28"/>
        </w:rPr>
        <w:t xml:space="preserve"> наследниците</w:t>
      </w:r>
      <w:r w:rsidR="001D4873">
        <w:rPr>
          <w:rFonts w:ascii="Times New Roman" w:eastAsia="Calibri" w:hAnsi="Times New Roman" w:cs="Times New Roman"/>
          <w:sz w:val="28"/>
          <w:szCs w:val="28"/>
        </w:rPr>
        <w:t xml:space="preserve">, които </w:t>
      </w:r>
      <w:r w:rsidR="00463157">
        <w:rPr>
          <w:rFonts w:ascii="Times New Roman" w:eastAsia="Calibri" w:hAnsi="Times New Roman" w:cs="Times New Roman"/>
          <w:sz w:val="28"/>
          <w:szCs w:val="28"/>
        </w:rPr>
        <w:t xml:space="preserve">по закона за наследството са отговорно </w:t>
      </w:r>
      <w:r w:rsidR="001D4873">
        <w:rPr>
          <w:rFonts w:ascii="Times New Roman" w:eastAsia="Calibri" w:hAnsi="Times New Roman" w:cs="Times New Roman"/>
          <w:sz w:val="28"/>
          <w:szCs w:val="28"/>
        </w:rPr>
        <w:t xml:space="preserve">задължени </w:t>
      </w:r>
      <w:r w:rsidR="00463157">
        <w:rPr>
          <w:rFonts w:ascii="Times New Roman" w:eastAsia="Calibri" w:hAnsi="Times New Roman" w:cs="Times New Roman"/>
          <w:sz w:val="28"/>
          <w:szCs w:val="28"/>
        </w:rPr>
        <w:t xml:space="preserve">след </w:t>
      </w:r>
      <w:r w:rsidR="001D4873">
        <w:rPr>
          <w:rFonts w:ascii="Times New Roman" w:eastAsia="Calibri" w:hAnsi="Times New Roman" w:cs="Times New Roman"/>
          <w:sz w:val="28"/>
          <w:szCs w:val="28"/>
        </w:rPr>
        <w:t xml:space="preserve">момента </w:t>
      </w:r>
      <w:r w:rsidR="00463157">
        <w:rPr>
          <w:rFonts w:ascii="Times New Roman" w:eastAsia="Calibri" w:hAnsi="Times New Roman" w:cs="Times New Roman"/>
          <w:sz w:val="28"/>
          <w:szCs w:val="28"/>
        </w:rPr>
        <w:t>на придобиването на наследствената маса</w:t>
      </w:r>
      <w:r w:rsidR="009E19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157">
        <w:rPr>
          <w:rFonts w:ascii="Times New Roman" w:eastAsia="Calibri" w:hAnsi="Times New Roman" w:cs="Times New Roman"/>
          <w:sz w:val="28"/>
          <w:szCs w:val="28"/>
        </w:rPr>
        <w:t>Предлаганите изменения също така биха затруднили изключително много и приемането на новите съдружници, което в определени хипотези може да доведе до фалит, невъзможност за придобиването на нов капитал и др.</w:t>
      </w:r>
    </w:p>
    <w:p w:rsidR="004108C4" w:rsidRDefault="004108C4" w:rsidP="00A32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8C4" w:rsidRDefault="004108C4" w:rsidP="004108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08C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отношение на §6/3 - изменение на чл. 625 от ТЗ от законопроекта:</w:t>
      </w:r>
    </w:p>
    <w:p w:rsidR="004108C4" w:rsidRDefault="004108C4" w:rsidP="004108C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108C4" w:rsidRDefault="004108C4" w:rsidP="004108C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8C4">
        <w:rPr>
          <w:rFonts w:ascii="Times New Roman" w:eastAsia="Calibri" w:hAnsi="Times New Roman" w:cs="Times New Roman"/>
          <w:sz w:val="28"/>
          <w:szCs w:val="28"/>
        </w:rPr>
        <w:t>Предложението следва да</w:t>
      </w:r>
      <w:r w:rsidRPr="004108C4">
        <w:rPr>
          <w:rFonts w:ascii="Times New Roman" w:eastAsia="Calibri" w:hAnsi="Times New Roman" w:cs="Times New Roman"/>
          <w:b/>
          <w:sz w:val="28"/>
          <w:szCs w:val="28"/>
        </w:rPr>
        <w:t xml:space="preserve"> отпадне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108C4" w:rsidRDefault="004108C4" w:rsidP="004108C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2BDA" w:rsidRPr="0004587D" w:rsidRDefault="004108C4" w:rsidP="0004587D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108C4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</w:p>
    <w:p w:rsidR="00BC75F4" w:rsidRPr="00BC75F4" w:rsidRDefault="00BC75F4" w:rsidP="00033B86">
      <w:pPr>
        <w:pStyle w:val="ListParagraph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5F4">
        <w:rPr>
          <w:rFonts w:ascii="Times New Roman" w:eastAsia="Calibri" w:hAnsi="Times New Roman" w:cs="Times New Roman"/>
          <w:sz w:val="28"/>
          <w:szCs w:val="28"/>
        </w:rPr>
        <w:t xml:space="preserve">Съгласно Закона за гарантиране вземанията на работниците и служители Националният осигурителен институт </w:t>
      </w:r>
      <w:r w:rsidRPr="00BC75F4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BC75F4">
        <w:rPr>
          <w:rFonts w:ascii="Times New Roman" w:eastAsia="Calibri" w:hAnsi="Times New Roman" w:cs="Times New Roman"/>
          <w:sz w:val="28"/>
          <w:szCs w:val="28"/>
        </w:rPr>
        <w:t>НОИ</w:t>
      </w:r>
      <w:r w:rsidRPr="00BC75F4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BC75F4">
        <w:rPr>
          <w:rFonts w:ascii="Times New Roman" w:eastAsia="Calibri" w:hAnsi="Times New Roman" w:cs="Times New Roman"/>
          <w:sz w:val="28"/>
          <w:szCs w:val="28"/>
        </w:rPr>
        <w:t xml:space="preserve"> не може да се намесва пряко в дейността и оперативната самостоятелност на надзорния съвет и на директора на Фонда за гарантиране вземанията на работниците и служители. Поради това въпросното право на НОИ нарушава оперативната управленска самостоятелност на Фонда. </w:t>
      </w:r>
      <w:bookmarkStart w:id="19" w:name="_GoBack"/>
      <w:bookmarkEnd w:id="19"/>
    </w:p>
    <w:p w:rsidR="002B4A25" w:rsidRDefault="002B4A25" w:rsidP="001248DE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A25" w:rsidRPr="00921056" w:rsidRDefault="002B4A25" w:rsidP="002B4A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4D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20" w:name="_Hlk493759809"/>
      <w:r w:rsidRPr="0092105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отношение на §7</w:t>
      </w:r>
      <w:r w:rsidR="00C60ECA" w:rsidRPr="009210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/1 </w:t>
      </w:r>
      <w:r w:rsidR="00C84DF5" w:rsidRPr="00921056">
        <w:rPr>
          <w:rFonts w:ascii="Times New Roman" w:eastAsia="Calibri" w:hAnsi="Times New Roman" w:cs="Times New Roman"/>
          <w:b/>
          <w:sz w:val="28"/>
          <w:szCs w:val="28"/>
          <w:u w:val="single"/>
        </w:rPr>
        <w:t>–</w:t>
      </w:r>
      <w:r w:rsidR="003324AA" w:rsidRPr="009210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C84DF5" w:rsidRPr="009210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изменение на чл. 4, ал. 1, т. 2 от законопроекта: </w:t>
      </w:r>
      <w:bookmarkEnd w:id="20"/>
    </w:p>
    <w:p w:rsidR="00F2402B" w:rsidRDefault="00F2402B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BF5" w:rsidRDefault="00185BF5" w:rsidP="00185B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Предложението следва </w:t>
      </w:r>
      <w:r w:rsidRPr="00921056">
        <w:rPr>
          <w:rFonts w:ascii="Times New Roman" w:eastAsia="Calibri" w:hAnsi="Times New Roman" w:cs="Times New Roman"/>
          <w:b/>
          <w:sz w:val="28"/>
          <w:szCs w:val="28"/>
        </w:rPr>
        <w:t>да отпадне.</w:t>
      </w:r>
    </w:p>
    <w:p w:rsidR="00185BF5" w:rsidRDefault="00185BF5" w:rsidP="00185B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BF5" w:rsidRPr="00921056" w:rsidRDefault="00921056" w:rsidP="009210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</w:p>
    <w:p w:rsidR="0004587D" w:rsidRDefault="0004587D" w:rsidP="009210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87D">
        <w:rPr>
          <w:rFonts w:ascii="Times New Roman" w:eastAsia="Calibri" w:hAnsi="Times New Roman" w:cs="Times New Roman"/>
          <w:sz w:val="28"/>
          <w:szCs w:val="28"/>
        </w:rPr>
        <w:t>По предложението не е изготвена оценка на въздействие и финансова обосновка дали фонда разполага с необходимите средства и в какъв срок средствата ще стигнат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изплащането на вземанията</w:t>
      </w:r>
      <w:r w:rsidRPr="000458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Предложението също така не кореспондира със следващите членове на </w:t>
      </w:r>
      <w:r w:rsidRPr="0004587D">
        <w:rPr>
          <w:rFonts w:ascii="Times New Roman" w:eastAsia="Calibri" w:hAnsi="Times New Roman" w:cs="Times New Roman"/>
          <w:sz w:val="28"/>
          <w:szCs w:val="28"/>
        </w:rPr>
        <w:t>Закона за гарантиране на работниците и служителите при несъстоятелност на работодателя</w:t>
      </w:r>
      <w:r w:rsidR="00921056">
        <w:rPr>
          <w:rFonts w:ascii="Times New Roman" w:eastAsia="Calibri" w:hAnsi="Times New Roman" w:cs="Times New Roman"/>
          <w:sz w:val="28"/>
          <w:szCs w:val="28"/>
        </w:rPr>
        <w:t xml:space="preserve"> и в пряко противоречие на ал. 2 на чл. 4 от Закона.</w:t>
      </w:r>
    </w:p>
    <w:p w:rsidR="00822E4F" w:rsidRDefault="00822E4F" w:rsidP="0092105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E4F" w:rsidRPr="00822E4F" w:rsidRDefault="00822E4F" w:rsidP="00822E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4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отношение на §7</w:t>
      </w:r>
      <w:r w:rsidR="00A83C49">
        <w:rPr>
          <w:rFonts w:ascii="Times New Roman" w:eastAsia="Calibri" w:hAnsi="Times New Roman" w:cs="Times New Roman"/>
          <w:b/>
          <w:sz w:val="28"/>
          <w:szCs w:val="28"/>
          <w:u w:val="single"/>
        </w:rPr>
        <w:t>/2</w:t>
      </w:r>
      <w:r w:rsidRPr="00822E4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– изменение на чл. 4, ал. 1, т. 2 от законопроекта:</w:t>
      </w:r>
    </w:p>
    <w:p w:rsidR="00822E4F" w:rsidRDefault="00822E4F" w:rsidP="00822E4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2E4F" w:rsidRDefault="00822E4F" w:rsidP="00822E4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E4F">
        <w:rPr>
          <w:rFonts w:ascii="Times New Roman" w:eastAsia="Calibri" w:hAnsi="Times New Roman" w:cs="Times New Roman"/>
          <w:sz w:val="28"/>
          <w:szCs w:val="28"/>
        </w:rPr>
        <w:t xml:space="preserve">Предложението следва </w:t>
      </w:r>
      <w:r w:rsidRPr="00822E4F">
        <w:rPr>
          <w:rFonts w:ascii="Times New Roman" w:eastAsia="Calibri" w:hAnsi="Times New Roman" w:cs="Times New Roman"/>
          <w:b/>
          <w:sz w:val="28"/>
          <w:szCs w:val="28"/>
        </w:rPr>
        <w:t>да отпадне</w:t>
      </w:r>
      <w:r w:rsidRPr="00822E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E4F" w:rsidRDefault="00822E4F" w:rsidP="00822E4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E4F" w:rsidRPr="004D4F59" w:rsidRDefault="00822E4F" w:rsidP="004D4F59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D4F59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</w:p>
    <w:p w:rsidR="00A10A79" w:rsidRDefault="00822E4F" w:rsidP="00A10A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Текстът е неясен. </w:t>
      </w:r>
      <w:r w:rsidR="00A83C49">
        <w:rPr>
          <w:rFonts w:ascii="Times New Roman" w:eastAsia="Calibri" w:hAnsi="Times New Roman" w:cs="Times New Roman"/>
          <w:sz w:val="28"/>
          <w:szCs w:val="28"/>
        </w:rPr>
        <w:t xml:space="preserve">Предложението не дава ясен отговор за дейността </w:t>
      </w:r>
      <w:r w:rsidR="00D91ACA">
        <w:rPr>
          <w:rFonts w:ascii="Times New Roman" w:eastAsia="Calibri" w:hAnsi="Times New Roman" w:cs="Times New Roman"/>
          <w:sz w:val="28"/>
          <w:szCs w:val="28"/>
        </w:rPr>
        <w:t xml:space="preserve">на работника при създаване на нова т. 2 в ал. 1 на чл. 4 от </w:t>
      </w:r>
      <w:r w:rsidR="00D91ACA" w:rsidRPr="00D91ACA">
        <w:rPr>
          <w:rFonts w:ascii="Times New Roman" w:eastAsia="Calibri" w:hAnsi="Times New Roman" w:cs="Times New Roman"/>
          <w:sz w:val="28"/>
          <w:szCs w:val="28"/>
        </w:rPr>
        <w:t xml:space="preserve">ЗГВНРСНР </w:t>
      </w:r>
      <w:r w:rsidR="00D91ACA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="00A83C49">
        <w:rPr>
          <w:rFonts w:ascii="Times New Roman" w:eastAsia="Calibri" w:hAnsi="Times New Roman" w:cs="Times New Roman"/>
          <w:sz w:val="28"/>
          <w:szCs w:val="28"/>
        </w:rPr>
        <w:t>става дума</w:t>
      </w:r>
      <w:r w:rsidR="00D91ACA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A10A79">
        <w:rPr>
          <w:rFonts w:ascii="Times New Roman" w:eastAsia="Calibri" w:hAnsi="Times New Roman" w:cs="Times New Roman"/>
          <w:sz w:val="28"/>
          <w:szCs w:val="28"/>
        </w:rPr>
        <w:t>работодателя</w:t>
      </w:r>
      <w:r w:rsidR="00D91ACA">
        <w:rPr>
          <w:rFonts w:ascii="Times New Roman" w:eastAsia="Calibri" w:hAnsi="Times New Roman" w:cs="Times New Roman"/>
          <w:sz w:val="28"/>
          <w:szCs w:val="28"/>
        </w:rPr>
        <w:t xml:space="preserve"> в чл. 4, ал. 2 </w:t>
      </w:r>
      <w:r w:rsidR="00A10A7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1ACA">
        <w:rPr>
          <w:rFonts w:ascii="Times New Roman" w:eastAsia="Calibri" w:hAnsi="Times New Roman" w:cs="Times New Roman"/>
          <w:sz w:val="28"/>
          <w:szCs w:val="28"/>
        </w:rPr>
        <w:t>изречение второ</w:t>
      </w:r>
      <w:r w:rsidR="00A83C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1ACA" w:rsidRPr="00D91ACA">
        <w:rPr>
          <w:rFonts w:ascii="Times New Roman" w:eastAsia="Calibri" w:hAnsi="Times New Roman" w:cs="Times New Roman"/>
          <w:sz w:val="28"/>
          <w:szCs w:val="28"/>
        </w:rPr>
        <w:t xml:space="preserve">Предполагаме че законодателя е имал предвид промяна в ал. 2 на чл. 4 от </w:t>
      </w:r>
      <w:bookmarkStart w:id="21" w:name="_Hlk493761597"/>
      <w:r w:rsidR="00D91ACA" w:rsidRPr="00D91ACA">
        <w:rPr>
          <w:rFonts w:ascii="Times New Roman" w:eastAsia="Calibri" w:hAnsi="Times New Roman" w:cs="Times New Roman"/>
          <w:sz w:val="28"/>
          <w:szCs w:val="28"/>
        </w:rPr>
        <w:t>ЗГВНРСНР</w:t>
      </w:r>
      <w:bookmarkEnd w:id="21"/>
      <w:r w:rsidR="00A10A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22E4F" w:rsidRDefault="00A83C49" w:rsidP="00A10A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ACA">
        <w:rPr>
          <w:rFonts w:ascii="Times New Roman" w:eastAsia="Calibri" w:hAnsi="Times New Roman" w:cs="Times New Roman"/>
          <w:sz w:val="28"/>
          <w:szCs w:val="28"/>
        </w:rPr>
        <w:t>Контролните дейности на изброените институции (НАП, НОИ и ИТ) са разписани в отделни нормативни документи</w:t>
      </w:r>
      <w:r w:rsidR="006E1E8F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D91ACA">
        <w:rPr>
          <w:rFonts w:ascii="Times New Roman" w:eastAsia="Calibri" w:hAnsi="Times New Roman" w:cs="Times New Roman"/>
          <w:sz w:val="28"/>
          <w:szCs w:val="28"/>
        </w:rPr>
        <w:t xml:space="preserve"> с които текста не кореспондира. </w:t>
      </w:r>
    </w:p>
    <w:p w:rsidR="00617057" w:rsidRDefault="00617057" w:rsidP="00617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057" w:rsidRDefault="00617057" w:rsidP="00617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1EE" w:rsidRDefault="00F270DA" w:rsidP="00AD14A1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4A1">
        <w:rPr>
          <w:rFonts w:ascii="Times New Roman" w:eastAsia="Calibri" w:hAnsi="Times New Roman" w:cs="Times New Roman"/>
          <w:sz w:val="28"/>
          <w:szCs w:val="28"/>
        </w:rPr>
        <w:t>По изпратеното от г-жа С. Ангелова – депутат от 44-то НС, предложение по законопроекта за допълнение на КТ  (законопроект 754-04-72/19.09.2017г.)</w:t>
      </w:r>
      <w:r w:rsidR="00AD1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4A1">
        <w:rPr>
          <w:rFonts w:ascii="Times New Roman" w:eastAsia="Calibri" w:hAnsi="Times New Roman" w:cs="Times New Roman"/>
          <w:sz w:val="28"/>
          <w:szCs w:val="28"/>
        </w:rPr>
        <w:t>Българска търговско-промишлена палата (БТПП) изразява следното становище:</w:t>
      </w:r>
    </w:p>
    <w:p w:rsidR="00AD14A1" w:rsidRPr="00AD14A1" w:rsidRDefault="00AD14A1" w:rsidP="00AD14A1">
      <w:pPr>
        <w:pStyle w:val="ListParagraph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1EE" w:rsidRPr="007E41EE" w:rsidRDefault="007E41EE" w:rsidP="007E41EE">
      <w:pPr>
        <w:pStyle w:val="ListParagraph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EE">
        <w:rPr>
          <w:rFonts w:ascii="Times New Roman" w:eastAsia="Calibri" w:hAnsi="Times New Roman" w:cs="Times New Roman"/>
          <w:sz w:val="28"/>
          <w:szCs w:val="28"/>
        </w:rPr>
        <w:t xml:space="preserve">Предлаганата промяна </w:t>
      </w:r>
      <w:r w:rsidRPr="007E41EE">
        <w:rPr>
          <w:rFonts w:ascii="Times New Roman" w:eastAsia="Calibri" w:hAnsi="Times New Roman" w:cs="Times New Roman"/>
          <w:b/>
          <w:sz w:val="28"/>
          <w:szCs w:val="28"/>
        </w:rPr>
        <w:t>е неприемлива</w:t>
      </w:r>
      <w:r w:rsidRPr="007E41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1EE" w:rsidRPr="007E41EE" w:rsidRDefault="007E41EE" w:rsidP="007E41EE">
      <w:pPr>
        <w:pStyle w:val="ListParagraph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E41EE" w:rsidRPr="0027375C" w:rsidRDefault="007E41EE" w:rsidP="0027375C">
      <w:pPr>
        <w:pStyle w:val="ListParagraph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7E41EE">
        <w:rPr>
          <w:rFonts w:ascii="Times New Roman" w:eastAsia="Calibri" w:hAnsi="Times New Roman" w:cs="Times New Roman"/>
          <w:i/>
          <w:sz w:val="28"/>
          <w:szCs w:val="28"/>
          <w:u w:val="single"/>
        </w:rPr>
        <w:t>Мотиви:</w:t>
      </w:r>
      <w:r w:rsidRPr="007E41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41EE" w:rsidRPr="007E41EE" w:rsidRDefault="007E41EE" w:rsidP="007E41EE">
      <w:pPr>
        <w:pStyle w:val="ListParagraph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EE">
        <w:rPr>
          <w:rFonts w:ascii="Times New Roman" w:eastAsia="Calibri" w:hAnsi="Times New Roman" w:cs="Times New Roman"/>
          <w:sz w:val="28"/>
          <w:szCs w:val="28"/>
        </w:rPr>
        <w:t>По предложението не е изготвена оценка на въздействие и финансова обосновка дали фонда разполага с необходимите средства и в какъв срок средствата ще стигнат при подобно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разширяване на</w:t>
      </w:r>
      <w:r w:rsidR="00AD14A1">
        <w:rPr>
          <w:rFonts w:ascii="Times New Roman" w:eastAsia="Calibri" w:hAnsi="Times New Roman" w:cs="Times New Roman"/>
          <w:sz w:val="28"/>
          <w:szCs w:val="28"/>
        </w:rPr>
        <w:t xml:space="preserve"> кръга на</w:t>
      </w:r>
      <w:r w:rsidR="00AD14A1" w:rsidRPr="00AD14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14A1" w:rsidRPr="00AD14A1">
        <w:rPr>
          <w:rFonts w:ascii="Times New Roman" w:eastAsia="Calibri" w:hAnsi="Times New Roman" w:cs="Times New Roman"/>
          <w:sz w:val="28"/>
          <w:szCs w:val="28"/>
        </w:rPr>
        <w:t>правоимащи</w:t>
      </w:r>
      <w:r w:rsidR="006E1E8F">
        <w:rPr>
          <w:rFonts w:ascii="Times New Roman" w:eastAsia="Calibri" w:hAnsi="Times New Roman" w:cs="Times New Roman"/>
          <w:sz w:val="28"/>
          <w:szCs w:val="28"/>
        </w:rPr>
        <w:t>те</w:t>
      </w:r>
      <w:proofErr w:type="spellEnd"/>
      <w:r w:rsidR="00AD14A1" w:rsidRPr="00AD14A1">
        <w:rPr>
          <w:rFonts w:ascii="Times New Roman" w:eastAsia="Calibri" w:hAnsi="Times New Roman" w:cs="Times New Roman"/>
          <w:sz w:val="28"/>
          <w:szCs w:val="28"/>
        </w:rPr>
        <w:t xml:space="preserve"> лица по закон</w:t>
      </w:r>
      <w:r w:rsidR="00AD14A1">
        <w:rPr>
          <w:rFonts w:ascii="Times New Roman" w:eastAsia="Calibri" w:hAnsi="Times New Roman" w:cs="Times New Roman"/>
          <w:sz w:val="28"/>
          <w:szCs w:val="28"/>
        </w:rPr>
        <w:t>а</w:t>
      </w:r>
      <w:r w:rsidRPr="007E41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1EE" w:rsidRPr="00F270DA" w:rsidRDefault="007E41EE" w:rsidP="007E41EE">
      <w:pPr>
        <w:pStyle w:val="ListParagraph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17057" w:rsidRDefault="00617057" w:rsidP="00F270DA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E41EE" w:rsidRDefault="007E41EE" w:rsidP="00F270DA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E41EE" w:rsidRPr="00617057" w:rsidRDefault="007E41EE" w:rsidP="00F270DA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2402B" w:rsidRDefault="00F2402B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02B" w:rsidRDefault="00F2402B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8F3" w:rsidRPr="00237D1B" w:rsidRDefault="008018F3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1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  <w:t>С уважение,</w:t>
      </w:r>
    </w:p>
    <w:p w:rsidR="008018F3" w:rsidRPr="00237D1B" w:rsidRDefault="008018F3" w:rsidP="008018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  <w:t xml:space="preserve">      Цветан Симеонов</w:t>
      </w:r>
    </w:p>
    <w:p w:rsidR="00847BE4" w:rsidRPr="006B0889" w:rsidRDefault="008018F3" w:rsidP="006B0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</w:r>
      <w:r w:rsidRPr="00237D1B">
        <w:rPr>
          <w:rFonts w:ascii="Times New Roman" w:eastAsia="Calibri" w:hAnsi="Times New Roman" w:cs="Times New Roman"/>
          <w:sz w:val="28"/>
          <w:szCs w:val="28"/>
        </w:rPr>
        <w:tab/>
        <w:t xml:space="preserve">      председател на УС на БТПП</w:t>
      </w:r>
    </w:p>
    <w:sectPr w:rsidR="00847BE4" w:rsidRPr="006B08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8EC" w:rsidRDefault="003B18EC" w:rsidP="006E1E8F">
      <w:pPr>
        <w:spacing w:after="0" w:line="240" w:lineRule="auto"/>
      </w:pPr>
      <w:r>
        <w:separator/>
      </w:r>
    </w:p>
  </w:endnote>
  <w:endnote w:type="continuationSeparator" w:id="0">
    <w:p w:rsidR="003B18EC" w:rsidRDefault="003B18EC" w:rsidP="006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E8F" w:rsidRPr="006E1E8F" w:rsidRDefault="006E1E8F" w:rsidP="002F7016">
    <w:pPr>
      <w:pStyle w:val="Footer"/>
      <w:jc w:val="center"/>
      <w:rPr>
        <w:b/>
        <w:sz w:val="16"/>
        <w:szCs w:val="16"/>
      </w:rPr>
    </w:pPr>
    <w:r w:rsidRPr="006E1E8F">
      <w:rPr>
        <w:b/>
        <w:sz w:val="16"/>
        <w:szCs w:val="16"/>
      </w:rPr>
      <w:t>СТАНОВИЩЕ НА БЪЛГАРСКА ТЪРГОВСКО-ПРОМИШЛЕНА ПАЛАТА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8EC" w:rsidRDefault="003B18EC" w:rsidP="006E1E8F">
      <w:pPr>
        <w:spacing w:after="0" w:line="240" w:lineRule="auto"/>
      </w:pPr>
      <w:r>
        <w:separator/>
      </w:r>
    </w:p>
  </w:footnote>
  <w:footnote w:type="continuationSeparator" w:id="0">
    <w:p w:rsidR="003B18EC" w:rsidRDefault="003B18EC" w:rsidP="006E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451"/>
    <w:multiLevelType w:val="hybridMultilevel"/>
    <w:tmpl w:val="8280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A63"/>
    <w:multiLevelType w:val="hybridMultilevel"/>
    <w:tmpl w:val="FC96D1FC"/>
    <w:lvl w:ilvl="0" w:tplc="68C26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1A81"/>
    <w:multiLevelType w:val="hybridMultilevel"/>
    <w:tmpl w:val="1C6236FA"/>
    <w:lvl w:ilvl="0" w:tplc="6A803D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67B84"/>
    <w:multiLevelType w:val="hybridMultilevel"/>
    <w:tmpl w:val="142E84B6"/>
    <w:lvl w:ilvl="0" w:tplc="47A4D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0C68CD"/>
    <w:multiLevelType w:val="hybridMultilevel"/>
    <w:tmpl w:val="B5562FD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5E"/>
    <w:rsid w:val="00025179"/>
    <w:rsid w:val="0002664E"/>
    <w:rsid w:val="00033B86"/>
    <w:rsid w:val="0004587D"/>
    <w:rsid w:val="000566DE"/>
    <w:rsid w:val="000612B3"/>
    <w:rsid w:val="0007344F"/>
    <w:rsid w:val="00083F87"/>
    <w:rsid w:val="000B47F9"/>
    <w:rsid w:val="000D0038"/>
    <w:rsid w:val="000E0EAB"/>
    <w:rsid w:val="001018E9"/>
    <w:rsid w:val="0011081E"/>
    <w:rsid w:val="00110ED1"/>
    <w:rsid w:val="001112D3"/>
    <w:rsid w:val="00111D70"/>
    <w:rsid w:val="00115E0B"/>
    <w:rsid w:val="00116012"/>
    <w:rsid w:val="001176F9"/>
    <w:rsid w:val="001248DE"/>
    <w:rsid w:val="00140AD0"/>
    <w:rsid w:val="00140B59"/>
    <w:rsid w:val="00150090"/>
    <w:rsid w:val="00153B26"/>
    <w:rsid w:val="001667FB"/>
    <w:rsid w:val="001719CD"/>
    <w:rsid w:val="00172364"/>
    <w:rsid w:val="001737AA"/>
    <w:rsid w:val="00185BF5"/>
    <w:rsid w:val="001C1739"/>
    <w:rsid w:val="001D4873"/>
    <w:rsid w:val="00200E59"/>
    <w:rsid w:val="00201311"/>
    <w:rsid w:val="002038F5"/>
    <w:rsid w:val="00203E54"/>
    <w:rsid w:val="002260E3"/>
    <w:rsid w:val="00237D1B"/>
    <w:rsid w:val="00257A45"/>
    <w:rsid w:val="002639D7"/>
    <w:rsid w:val="00263D3C"/>
    <w:rsid w:val="00265E50"/>
    <w:rsid w:val="00267C49"/>
    <w:rsid w:val="0027375C"/>
    <w:rsid w:val="002A68FF"/>
    <w:rsid w:val="002B4A25"/>
    <w:rsid w:val="002F7016"/>
    <w:rsid w:val="00307BB5"/>
    <w:rsid w:val="00313B4F"/>
    <w:rsid w:val="003315DB"/>
    <w:rsid w:val="003324AA"/>
    <w:rsid w:val="00334EAF"/>
    <w:rsid w:val="00364199"/>
    <w:rsid w:val="00375D0E"/>
    <w:rsid w:val="0038035E"/>
    <w:rsid w:val="003832EF"/>
    <w:rsid w:val="00397F3E"/>
    <w:rsid w:val="003A03FF"/>
    <w:rsid w:val="003B0DB8"/>
    <w:rsid w:val="003B1142"/>
    <w:rsid w:val="003B18EC"/>
    <w:rsid w:val="003C0B72"/>
    <w:rsid w:val="003D77CA"/>
    <w:rsid w:val="003E7DD7"/>
    <w:rsid w:val="00400117"/>
    <w:rsid w:val="00402C0E"/>
    <w:rsid w:val="004108C4"/>
    <w:rsid w:val="00411CE9"/>
    <w:rsid w:val="004320B9"/>
    <w:rsid w:val="004411CB"/>
    <w:rsid w:val="00446398"/>
    <w:rsid w:val="00453EF2"/>
    <w:rsid w:val="0045407C"/>
    <w:rsid w:val="004542EB"/>
    <w:rsid w:val="00455D8F"/>
    <w:rsid w:val="00463157"/>
    <w:rsid w:val="0047304D"/>
    <w:rsid w:val="00474AD0"/>
    <w:rsid w:val="0048045B"/>
    <w:rsid w:val="0048687E"/>
    <w:rsid w:val="004B6586"/>
    <w:rsid w:val="004C0991"/>
    <w:rsid w:val="004C7E69"/>
    <w:rsid w:val="004D4F59"/>
    <w:rsid w:val="004F6866"/>
    <w:rsid w:val="00545691"/>
    <w:rsid w:val="005602E7"/>
    <w:rsid w:val="00562F15"/>
    <w:rsid w:val="00563AF8"/>
    <w:rsid w:val="005707E0"/>
    <w:rsid w:val="00587BE1"/>
    <w:rsid w:val="00594B29"/>
    <w:rsid w:val="005A1034"/>
    <w:rsid w:val="005D62CB"/>
    <w:rsid w:val="00601C97"/>
    <w:rsid w:val="0060546F"/>
    <w:rsid w:val="00606466"/>
    <w:rsid w:val="00617057"/>
    <w:rsid w:val="00622EAE"/>
    <w:rsid w:val="006378CC"/>
    <w:rsid w:val="00677460"/>
    <w:rsid w:val="006803FB"/>
    <w:rsid w:val="00681F78"/>
    <w:rsid w:val="006A1649"/>
    <w:rsid w:val="006A6EC8"/>
    <w:rsid w:val="006B0889"/>
    <w:rsid w:val="006C4214"/>
    <w:rsid w:val="006E1E8F"/>
    <w:rsid w:val="006F396A"/>
    <w:rsid w:val="00710396"/>
    <w:rsid w:val="007174DA"/>
    <w:rsid w:val="00731049"/>
    <w:rsid w:val="00744207"/>
    <w:rsid w:val="00756071"/>
    <w:rsid w:val="007569FA"/>
    <w:rsid w:val="00764E93"/>
    <w:rsid w:val="007656C6"/>
    <w:rsid w:val="00791641"/>
    <w:rsid w:val="007944BB"/>
    <w:rsid w:val="00796327"/>
    <w:rsid w:val="007B7464"/>
    <w:rsid w:val="007E41EE"/>
    <w:rsid w:val="008018F3"/>
    <w:rsid w:val="00815D9E"/>
    <w:rsid w:val="00815E55"/>
    <w:rsid w:val="00821986"/>
    <w:rsid w:val="00822E4F"/>
    <w:rsid w:val="0082518D"/>
    <w:rsid w:val="0083124B"/>
    <w:rsid w:val="00833736"/>
    <w:rsid w:val="00841FCE"/>
    <w:rsid w:val="00847BE4"/>
    <w:rsid w:val="00850409"/>
    <w:rsid w:val="008520F5"/>
    <w:rsid w:val="00856452"/>
    <w:rsid w:val="008672F5"/>
    <w:rsid w:val="00887ED0"/>
    <w:rsid w:val="008A75E8"/>
    <w:rsid w:val="008B01C2"/>
    <w:rsid w:val="008D38F3"/>
    <w:rsid w:val="008E2171"/>
    <w:rsid w:val="008E3F90"/>
    <w:rsid w:val="008F163B"/>
    <w:rsid w:val="008F42F2"/>
    <w:rsid w:val="00921056"/>
    <w:rsid w:val="00922BDA"/>
    <w:rsid w:val="00924161"/>
    <w:rsid w:val="009242C6"/>
    <w:rsid w:val="009312E7"/>
    <w:rsid w:val="00934BD8"/>
    <w:rsid w:val="009634FE"/>
    <w:rsid w:val="00963B87"/>
    <w:rsid w:val="00987743"/>
    <w:rsid w:val="009950DC"/>
    <w:rsid w:val="009B52F9"/>
    <w:rsid w:val="009D48FB"/>
    <w:rsid w:val="009E192F"/>
    <w:rsid w:val="009E5629"/>
    <w:rsid w:val="009F2242"/>
    <w:rsid w:val="00A01EC2"/>
    <w:rsid w:val="00A035BF"/>
    <w:rsid w:val="00A10A79"/>
    <w:rsid w:val="00A2067A"/>
    <w:rsid w:val="00A25DA9"/>
    <w:rsid w:val="00A3185F"/>
    <w:rsid w:val="00A32E79"/>
    <w:rsid w:val="00A33248"/>
    <w:rsid w:val="00A45E4D"/>
    <w:rsid w:val="00A83C49"/>
    <w:rsid w:val="00A867EA"/>
    <w:rsid w:val="00A9683F"/>
    <w:rsid w:val="00AB0FC3"/>
    <w:rsid w:val="00AC5BB7"/>
    <w:rsid w:val="00AD14A1"/>
    <w:rsid w:val="00AD2CEE"/>
    <w:rsid w:val="00AF0B45"/>
    <w:rsid w:val="00B13ED5"/>
    <w:rsid w:val="00B33BB1"/>
    <w:rsid w:val="00B37094"/>
    <w:rsid w:val="00B527BD"/>
    <w:rsid w:val="00B52EFA"/>
    <w:rsid w:val="00B726B6"/>
    <w:rsid w:val="00B73A9F"/>
    <w:rsid w:val="00B80083"/>
    <w:rsid w:val="00B95977"/>
    <w:rsid w:val="00BA4BED"/>
    <w:rsid w:val="00BB3AB5"/>
    <w:rsid w:val="00BC75F4"/>
    <w:rsid w:val="00BD023B"/>
    <w:rsid w:val="00BD193C"/>
    <w:rsid w:val="00BD19DB"/>
    <w:rsid w:val="00BD5E19"/>
    <w:rsid w:val="00BE59F0"/>
    <w:rsid w:val="00BE5E22"/>
    <w:rsid w:val="00C26ACB"/>
    <w:rsid w:val="00C27943"/>
    <w:rsid w:val="00C401B0"/>
    <w:rsid w:val="00C40A77"/>
    <w:rsid w:val="00C41561"/>
    <w:rsid w:val="00C43348"/>
    <w:rsid w:val="00C54F7B"/>
    <w:rsid w:val="00C60ECA"/>
    <w:rsid w:val="00C73D56"/>
    <w:rsid w:val="00C73F94"/>
    <w:rsid w:val="00C837C7"/>
    <w:rsid w:val="00C84DF5"/>
    <w:rsid w:val="00C87586"/>
    <w:rsid w:val="00C87B99"/>
    <w:rsid w:val="00C96B3D"/>
    <w:rsid w:val="00CA06FC"/>
    <w:rsid w:val="00CC784D"/>
    <w:rsid w:val="00CD32C5"/>
    <w:rsid w:val="00CF1758"/>
    <w:rsid w:val="00D1755E"/>
    <w:rsid w:val="00D20882"/>
    <w:rsid w:val="00D52C62"/>
    <w:rsid w:val="00D71DEC"/>
    <w:rsid w:val="00D72638"/>
    <w:rsid w:val="00D74B3F"/>
    <w:rsid w:val="00D87614"/>
    <w:rsid w:val="00D91ACA"/>
    <w:rsid w:val="00DA0E55"/>
    <w:rsid w:val="00DC0703"/>
    <w:rsid w:val="00DC1219"/>
    <w:rsid w:val="00DD34BC"/>
    <w:rsid w:val="00DD77A8"/>
    <w:rsid w:val="00DF10E3"/>
    <w:rsid w:val="00E42EAA"/>
    <w:rsid w:val="00E60453"/>
    <w:rsid w:val="00E847A3"/>
    <w:rsid w:val="00E9350C"/>
    <w:rsid w:val="00EA479C"/>
    <w:rsid w:val="00EB1A17"/>
    <w:rsid w:val="00EB298B"/>
    <w:rsid w:val="00EB75B7"/>
    <w:rsid w:val="00EE1B9C"/>
    <w:rsid w:val="00EE6BE5"/>
    <w:rsid w:val="00EF6798"/>
    <w:rsid w:val="00F02AB8"/>
    <w:rsid w:val="00F06D94"/>
    <w:rsid w:val="00F1398E"/>
    <w:rsid w:val="00F2402B"/>
    <w:rsid w:val="00F270DA"/>
    <w:rsid w:val="00F3199B"/>
    <w:rsid w:val="00F32A40"/>
    <w:rsid w:val="00F4535A"/>
    <w:rsid w:val="00F510F8"/>
    <w:rsid w:val="00F75F47"/>
    <w:rsid w:val="00F77A19"/>
    <w:rsid w:val="00F85A24"/>
    <w:rsid w:val="00FA0466"/>
    <w:rsid w:val="00FC4434"/>
    <w:rsid w:val="00FD2232"/>
    <w:rsid w:val="00FE1399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387D-8079-42F8-BE95-5D0A4963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40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5040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566D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8F"/>
  </w:style>
  <w:style w:type="paragraph" w:styleId="Footer">
    <w:name w:val="footer"/>
    <w:basedOn w:val="Normal"/>
    <w:link w:val="FooterChar"/>
    <w:uiPriority w:val="99"/>
    <w:unhideWhenUsed/>
    <w:rsid w:val="006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08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A368-BFC4-42B2-B082-FDB3BCC7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Mihaylova</dc:creator>
  <cp:keywords/>
  <dc:description/>
  <cp:lastModifiedBy>Mihaela Mihaylova</cp:lastModifiedBy>
  <cp:revision>10</cp:revision>
  <cp:lastPrinted>2017-09-27T13:05:00Z</cp:lastPrinted>
  <dcterms:created xsi:type="dcterms:W3CDTF">2017-07-14T05:31:00Z</dcterms:created>
  <dcterms:modified xsi:type="dcterms:W3CDTF">2017-10-02T09:10:00Z</dcterms:modified>
</cp:coreProperties>
</file>